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${expediente_coactivo}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idcontribuyenteexpediente</w:t>
            </w:r>
            <w:r>
              <w:rPr>
                <w:rFonts w:eastAsia="Arial Narrow" w:cs="Arial Narrow" w:ascii="Arial Narrow" w:hAnsi="Arial Narrow"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Me permito comunicarle que mediante auto No. ${auto_embargo} de fecha ${fecha_embargo} dentro del proceso de la referencia, este despacho ordenó el embargo del vehículo de propiedad del deudor ${</w:t>
      </w:r>
      <w:r>
        <w:rPr>
          <w:rFonts w:eastAsia="Arial Narrow" w:cs="Arial Narrow" w:ascii="Arial Narrow" w:hAnsi="Arial Narrow"/>
          <w:b w:val="false"/>
          <w:bCs w:val="false"/>
          <w:kern w:val="0"/>
          <w:sz w:val="22"/>
          <w:szCs w:val="22"/>
          <w:lang w:val="es-CO" w:eastAsia="zh-CN" w:bidi="hi-IN"/>
        </w:rPr>
        <w:t>nombreRazonSocial</w:t>
      </w:r>
      <w:r>
        <w:rPr>
          <w:rFonts w:eastAsia="Arial Narrow" w:cs="Arial Narrow" w:ascii="Arial Narrow" w:hAnsi="Arial Narrow"/>
          <w:sz w:val="20"/>
          <w:szCs w:val="20"/>
        </w:rPr>
        <w:t>} con Identificación con CC o NIT.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eastAsia="Arial Narrow" w:cs="Arial Narrow" w:ascii="Arial Narrow" w:hAnsi="Arial Narrow"/>
          <w:sz w:val="20"/>
          <w:szCs w:val="20"/>
        </w:rPr>
        <w:t xml:space="preserve">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${placa}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${marca_vehiculo}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${clase_vehiculo}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${modelo_vehiculo}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${cilindraje_vehiculo}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${oficina_registro}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${elaborodocumento}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LibreOffice/7.3.7.2$Linux_X86_64 LibreOffice_project/30$Build-2</Application>
  <AppVersion>15.0000</AppVersion>
  <Pages>1</Pages>
  <Words>280</Words>
  <Characters>1785</Characters>
  <CharactersWithSpaces>2163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2024-07-09T09:39:26Z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