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w:bCs/>
          <w:color w:val="000000" w:themeColor="text1"/>
          <w:sz w:val="22"/>
          <w:szCs w:val="22"/>
        </w:rPr>
      </w:pPr>
      <w:r>
        <w:rPr>
          <w:rFonts w:cs="Arial" w:ascii="Arial Narrow" w:hAnsi="Arial Narrow"/>
          <w:bCs/>
          <w:color w:val="000000" w:themeColor="text1"/>
          <w:sz w:val="18"/>
          <w:szCs w:val="22"/>
        </w:rPr>
        <w:t xml:space="preserve">140.33.02. ${auto_embargo}                                                                                                      </w:t>
      </w:r>
      <w:r>
        <w:rPr>
          <w:rFonts w:cs="Arial" w:ascii="Arial Narrow" w:hAnsi="Arial Narrow"/>
          <w:bCs/>
          <w:color w:val="000000" w:themeColor="text1"/>
          <w:sz w:val="22"/>
          <w:szCs w:val="22"/>
        </w:rPr>
        <w:t xml:space="preserve">               </w:t>
      </w:r>
    </w:p>
    <w:p>
      <w:pPr>
        <w:pStyle w:val="Normal"/>
        <w:rPr>
          <w:rFonts w:ascii="Arial Narrow" w:hAnsi="Arial Narrow" w:cs="Arial"/>
          <w:bCs/>
          <w:color w:val="000000" w:themeColor="text1"/>
          <w:sz w:val="12"/>
          <w:szCs w:val="14"/>
        </w:rPr>
      </w:pPr>
      <w:r>
        <w:rPr>
          <w:rFonts w:cs="Arial" w:ascii="Arial Narrow" w:hAnsi="Arial Narrow"/>
          <w:bCs/>
          <w:color w:val="000000" w:themeColor="text1"/>
          <w:sz w:val="12"/>
          <w:szCs w:val="14"/>
        </w:rPr>
      </w:r>
    </w:p>
    <w:p>
      <w:pPr>
        <w:pStyle w:val="Normal"/>
        <w:jc w:val="right"/>
        <w:rPr>
          <w:rFonts w:ascii="Arial Narrow" w:hAnsi="Arial Narrow" w:cs="Arial"/>
          <w:bCs/>
          <w:color w:val="000000" w:themeColor="text1"/>
          <w:sz w:val="22"/>
          <w:szCs w:val="21"/>
        </w:rPr>
      </w:pPr>
      <w:r>
        <w:rPr>
          <w:rFonts w:cs="Arial" w:ascii="Arial Narrow" w:hAnsi="Arial Narrow"/>
          <w:bCs/>
          <w:color w:val="000000" w:themeColor="text1"/>
          <w:sz w:val="22"/>
          <w:szCs w:val="21"/>
        </w:rPr>
        <w:t xml:space="preserve">                                                 </w:t>
      </w:r>
      <w:r>
        <w:rPr>
          <w:rFonts w:cs="Arial" w:ascii="Arial Narrow" w:hAnsi="Arial Narrow"/>
          <w:bCs/>
          <w:color w:val="000000" w:themeColor="text1"/>
          <w:sz w:val="22"/>
          <w:szCs w:val="21"/>
        </w:rPr>
        <w:t xml:space="preserve">Fecha: </w:t>
      </w:r>
      <w:r>
        <w:rPr>
          <w:rFonts w:cs="Arial" w:ascii="Arial Narrow" w:hAnsi="Arial Narrow"/>
          <w:b/>
          <w:color w:val="000000" w:themeColor="text1"/>
          <w:sz w:val="22"/>
          <w:szCs w:val="21"/>
        </w:rPr>
        <w:t>${fecha_embargo}</w:t>
      </w:r>
    </w:p>
    <w:p>
      <w:pPr>
        <w:pStyle w:val="Normal"/>
        <w:numPr>
          <w:ilvl w:val="0"/>
          <w:numId w:val="0"/>
        </w:numPr>
        <w:ind w:left="0" w:hanging="0"/>
        <w:jc w:val="center"/>
        <w:outlineLvl w:val="0"/>
        <w:rPr>
          <w:rFonts w:ascii="Arial Narrow" w:hAnsi="Arial Narrow" w:cs="Arial"/>
          <w:b/>
          <w:b/>
          <w:bCs/>
          <w:color w:val="000000" w:themeColor="text1"/>
          <w:sz w:val="12"/>
          <w:szCs w:val="22"/>
        </w:rPr>
      </w:pPr>
      <w:r>
        <w:rPr>
          <w:rFonts w:cs="Arial" w:ascii="Arial Narrow" w:hAnsi="Arial Narrow"/>
          <w:b/>
          <w:bCs/>
          <w:color w:val="000000" w:themeColor="text1"/>
          <w:sz w:val="12"/>
          <w:szCs w:val="22"/>
        </w:rPr>
      </w:r>
    </w:p>
    <w:p>
      <w:pPr>
        <w:pStyle w:val="Normal"/>
        <w:numPr>
          <w:ilvl w:val="0"/>
          <w:numId w:val="0"/>
        </w:numPr>
        <w:ind w:left="0" w:hanging="0"/>
        <w:jc w:val="center"/>
        <w:outlineLvl w:val="0"/>
        <w:rPr>
          <w:rFonts w:ascii="Arial Narrow" w:hAnsi="Arial Narrow" w:cs="Arial"/>
          <w:b/>
          <w:b/>
          <w:bCs/>
          <w:color w:val="000000" w:themeColor="text1"/>
          <w:sz w:val="22"/>
          <w:szCs w:val="22"/>
        </w:rPr>
      </w:pPr>
      <w:r>
        <w:rPr>
          <w:rFonts w:cs="Arial" w:ascii="Arial Narrow" w:hAnsi="Arial Narrow"/>
          <w:b/>
          <w:bCs/>
          <w:color w:val="000000" w:themeColor="text1"/>
          <w:sz w:val="22"/>
          <w:szCs w:val="22"/>
        </w:rPr>
        <w:t>AUTO No ${auto_embargo}</w:t>
      </w:r>
    </w:p>
    <w:p>
      <w:pPr>
        <w:pStyle w:val="Normal"/>
        <w:numPr>
          <w:ilvl w:val="0"/>
          <w:numId w:val="0"/>
        </w:numPr>
        <w:ind w:left="0" w:hanging="0"/>
        <w:jc w:val="center"/>
        <w:outlineLvl w:val="0"/>
        <w:rPr>
          <w:rFonts w:ascii="Arial Narrow" w:hAnsi="Arial Narrow" w:cs="Arial"/>
          <w:color w:val="000000" w:themeColor="text1"/>
          <w:sz w:val="18"/>
          <w:szCs w:val="22"/>
        </w:rPr>
      </w:pPr>
      <w:r>
        <w:rPr>
          <w:rFonts w:cs="Arial" w:ascii="Arial Narrow" w:hAnsi="Arial Narrow"/>
          <w:color w:val="000000" w:themeColor="text1"/>
          <w:sz w:val="18"/>
          <w:szCs w:val="22"/>
        </w:rPr>
      </w:r>
    </w:p>
    <w:p>
      <w:pPr>
        <w:pStyle w:val="NoSpacing"/>
        <w:numPr>
          <w:ilvl w:val="0"/>
          <w:numId w:val="0"/>
        </w:numPr>
        <w:ind w:left="0" w:hanging="0"/>
        <w:jc w:val="center"/>
        <w:outlineLvl w:val="0"/>
        <w:rPr>
          <w:rFonts w:ascii="Arial Narrow" w:hAnsi="Arial Narrow" w:cs="Arial"/>
          <w:i/>
          <w:i/>
          <w:iCs/>
          <w:color w:val="000000" w:themeColor="text1"/>
        </w:rPr>
      </w:pPr>
      <w:r>
        <w:rPr>
          <w:rFonts w:cs="Arial" w:ascii="Arial Narrow" w:hAnsi="Arial Narrow"/>
          <w:i/>
          <w:iCs/>
          <w:color w:val="000000" w:themeColor="text1"/>
        </w:rPr>
        <w:t>“</w:t>
      </w:r>
      <w:r>
        <w:rPr>
          <w:rFonts w:cs="Arial" w:ascii="Arial Narrow" w:hAnsi="Arial Narrow"/>
          <w:i/>
          <w:iCs/>
          <w:color w:val="000000" w:themeColor="text1"/>
        </w:rPr>
        <w:t>Por la cual se ordena el embargo de bienes por el no pago de obligaciones tributarias”</w:t>
      </w:r>
    </w:p>
    <w:p>
      <w:pPr>
        <w:pStyle w:val="NoSpacing"/>
        <w:numPr>
          <w:ilvl w:val="0"/>
          <w:numId w:val="0"/>
        </w:numPr>
        <w:ind w:left="0" w:hanging="0"/>
        <w:jc w:val="center"/>
        <w:outlineLvl w:val="0"/>
        <w:rPr>
          <w:rFonts w:ascii="Arial Narrow" w:hAnsi="Arial Narrow" w:cs="Arial"/>
          <w:i/>
          <w:i/>
          <w:iCs/>
          <w:color w:val="000000" w:themeColor="text1"/>
        </w:rPr>
      </w:pPr>
      <w:r>
        <w:rPr>
          <w:rFonts w:cs="Arial" w:ascii="Arial Narrow" w:hAnsi="Arial Narrow"/>
          <w:i/>
          <w:iCs/>
          <w:color w:val="000000" w:themeColor="text1"/>
        </w:rPr>
      </w:r>
    </w:p>
    <w:p>
      <w:pPr>
        <w:pStyle w:val="NoSpacing"/>
        <w:numPr>
          <w:ilvl w:val="0"/>
          <w:numId w:val="0"/>
        </w:numPr>
        <w:ind w:left="0" w:hanging="0"/>
        <w:jc w:val="center"/>
        <w:outlineLvl w:val="0"/>
        <w:rPr>
          <w:rFonts w:ascii="Arial Narrow" w:hAnsi="Arial Narrow" w:cs="Arial"/>
          <w:i/>
          <w:i/>
          <w:iCs/>
          <w:color w:val="000000" w:themeColor="text1"/>
          <w:sz w:val="16"/>
        </w:rPr>
      </w:pPr>
      <w:r>
        <w:rPr>
          <w:rFonts w:cs="Arial" w:ascii="Arial Narrow" w:hAnsi="Arial Narrow"/>
          <w:i/>
          <w:iCs/>
          <w:color w:val="000000" w:themeColor="text1"/>
          <w:sz w:val="16"/>
        </w:rPr>
      </w:r>
    </w:p>
    <w:tbl>
      <w:tblPr>
        <w:tblStyle w:val="Tablaconcuadrcula"/>
        <w:tblW w:w="893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403"/>
        <w:gridCol w:w="6526"/>
      </w:tblGrid>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color w:val="000000" w:themeColor="text1"/>
                <w:kern w:val="0"/>
                <w:sz w:val="20"/>
                <w:szCs w:val="20"/>
                <w:lang w:val="es-CO" w:eastAsia="es-CO" w:bidi="ar-SA"/>
              </w:rPr>
              <w:t>EXPEDIENTE(S)</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${expediente_coactivo}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color w:val="000000" w:themeColor="text1"/>
                <w:kern w:val="0"/>
                <w:sz w:val="20"/>
                <w:szCs w:val="20"/>
                <w:lang w:val="es-CO" w:eastAsia="es-CO" w:bidi="ar-SA"/>
              </w:rPr>
              <w:t>AÑO(S) GRAVABLE(S)</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w:t>
            </w:r>
            <w:r>
              <w:rPr>
                <w:rFonts w:eastAsia="Arial Narrow" w:cs="Arial Narrow" w:ascii="Arial Narrow" w:hAnsi="Arial Narrow"/>
                <w:kern w:val="0"/>
                <w:sz w:val="22"/>
                <w:szCs w:val="22"/>
                <w:lang w:val="es-CO" w:eastAsia="zh-CN" w:bidi="hi-IN"/>
              </w:rPr>
              <w:t>vigenciaexpediente</w:t>
            </w:r>
            <w:r>
              <w:rPr>
                <w:rFonts w:eastAsia="Arial Narrow" w:cs="Arial Narrow" w:ascii="Arial Narrow" w:hAnsi="Arial Narrow"/>
                <w:kern w:val="0"/>
                <w:sz w:val="20"/>
                <w:szCs w:val="20"/>
                <w:lang w:val="es-CO" w:eastAsia="es-CO" w:bidi="ar-SA"/>
              </w:rPr>
              <w:t>}</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kern w:val="0"/>
                <w:sz w:val="20"/>
                <w:szCs w:val="20"/>
                <w:lang w:val="es-MX" w:eastAsia="es-CO" w:bidi="ar-SA"/>
              </w:rPr>
              <w:t>DEUDOR</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${nombreRazonSocial}</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kern w:val="0"/>
                <w:sz w:val="20"/>
                <w:szCs w:val="20"/>
                <w:lang w:val="es-MX" w:eastAsia="es-CO" w:bidi="ar-SA"/>
              </w:rPr>
              <w:t>C.C. o NIT</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w:t>
            </w:r>
            <w:r>
              <w:rPr>
                <w:rFonts w:eastAsia="Arial Narrow" w:cs="Arial Narrow" w:ascii="Arial Narrow" w:hAnsi="Arial Narrow"/>
                <w:kern w:val="0"/>
                <w:sz w:val="22"/>
                <w:szCs w:val="22"/>
                <w:lang w:val="es-CO" w:eastAsia="zh-CN" w:bidi="hi-IN"/>
              </w:rPr>
              <w:t>idcontribuyenteexpediente</w:t>
            </w:r>
            <w:r>
              <w:rPr>
                <w:rFonts w:eastAsia="Arial Narrow" w:cs="Arial Narrow" w:ascii="Arial Narrow" w:hAnsi="Arial Narrow"/>
                <w:kern w:val="0"/>
                <w:sz w:val="20"/>
                <w:szCs w:val="20"/>
                <w:lang w:val="es-CO" w:eastAsia="es-CO" w:bidi="ar-SA"/>
              </w:rPr>
              <w:t>}</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IMPUESTO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IMPUESTO DE VEHÍCULOS</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 xml:space="preserve">CODIGO CATASTRAL </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${objeto_expediente_cobro}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CORREO ELECTRÓNICO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${correo}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TELÉFONO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${telefono}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DIRECCIÓN</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${direccionexpedientefiscalizacion}</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 xml:space="preserve">CIUDAD </w:t>
            </w:r>
            <w:r>
              <w:rPr>
                <w:rFonts w:cs="Arial" w:ascii="Arial Narrow" w:hAnsi="Arial Narrow"/>
                <w:b/>
                <w:kern w:val="0"/>
                <w:sz w:val="20"/>
                <w:szCs w:val="20"/>
                <w:lang w:val="es-MX" w:eastAsia="es-CO" w:bidi="ar-SA"/>
              </w:rPr>
              <w:t>(DEPARTAMENTO)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${municipioexpedientefiscalizacion}</w:t>
            </w:r>
          </w:p>
        </w:tc>
      </w:tr>
    </w:tbl>
    <w:p>
      <w:pPr>
        <w:pStyle w:val="NoSpacing"/>
        <w:numPr>
          <w:ilvl w:val="0"/>
          <w:numId w:val="0"/>
        </w:numPr>
        <w:ind w:left="0" w:hanging="0"/>
        <w:outlineLvl w:val="0"/>
        <w:rPr>
          <w:rFonts w:ascii="Arial Narrow" w:hAnsi="Arial Narrow" w:cs="Arial"/>
          <w:color w:val="000000" w:themeColor="text1"/>
        </w:rPr>
      </w:pPr>
      <w:r>
        <w:rPr>
          <w:rFonts w:cs="Arial" w:ascii="Arial Narrow" w:hAnsi="Arial Narrow"/>
          <w:color w:val="000000" w:themeColor="text1"/>
        </w:rPr>
      </w:r>
    </w:p>
    <w:p>
      <w:pPr>
        <w:pStyle w:val="Normal"/>
        <w:jc w:val="both"/>
        <w:rPr>
          <w:rFonts w:ascii="Arial Narrow" w:hAnsi="Arial Narrow" w:cs="Arial"/>
          <w:color w:val="000000" w:themeColor="text1"/>
          <w:sz w:val="22"/>
          <w:szCs w:val="22"/>
          <w:lang w:val="es-CO"/>
        </w:rPr>
      </w:pPr>
      <w:r>
        <w:rPr>
          <w:rFonts w:cs="Arial" w:ascii="Arial Narrow" w:hAnsi="Arial Narrow"/>
          <w:color w:val="000000" w:themeColor="text1"/>
          <w:sz w:val="22"/>
          <w:szCs w:val="22"/>
          <w:lang w:val="es-CO"/>
        </w:rPr>
        <w:t>La Secretaria de Hacienda de la Alcaldía Municipal de Aguazul (Casanare), en uso de sus atribuciones legales, y en especial las conferidas en los artículos 486 y 498 del Estatuto de Rentas Municipal de Aguazul (Acuerdo No. 020 del 21 de diciembre de 2016), concordantes con los artículos 837, y subsiguientes del Estatuto Tributario Nacional, y demás normas vigentes sobre la materia y,</w:t>
      </w:r>
    </w:p>
    <w:p>
      <w:pPr>
        <w:pStyle w:val="NoSpacing"/>
        <w:numPr>
          <w:ilvl w:val="0"/>
          <w:numId w:val="0"/>
        </w:numPr>
        <w:ind w:left="0" w:hanging="0"/>
        <w:jc w:val="center"/>
        <w:outlineLvl w:val="0"/>
        <w:rPr>
          <w:rFonts w:ascii="Arial Narrow" w:hAnsi="Arial Narrow" w:cs="Arial"/>
          <w:b/>
          <w:b/>
        </w:rPr>
      </w:pPr>
      <w:r>
        <w:rPr>
          <w:rFonts w:cs="Arial" w:ascii="Arial Narrow" w:hAnsi="Arial Narrow"/>
          <w:b/>
        </w:rPr>
      </w:r>
    </w:p>
    <w:p>
      <w:pPr>
        <w:pStyle w:val="NoSpacing"/>
        <w:numPr>
          <w:ilvl w:val="0"/>
          <w:numId w:val="0"/>
        </w:numPr>
        <w:ind w:left="0" w:hanging="0"/>
        <w:jc w:val="center"/>
        <w:outlineLvl w:val="0"/>
        <w:rPr>
          <w:rFonts w:ascii="Arial Narrow" w:hAnsi="Arial Narrow" w:cs="Arial"/>
          <w:b/>
          <w:b/>
        </w:rPr>
      </w:pPr>
      <w:r>
        <w:rPr>
          <w:rFonts w:cs="Arial" w:ascii="Arial Narrow" w:hAnsi="Arial Narrow"/>
          <w:b/>
        </w:rPr>
        <w:t>CONSIDERANDO QUE,</w:t>
      </w:r>
    </w:p>
    <w:p>
      <w:pPr>
        <w:pStyle w:val="NoSpacing"/>
        <w:numPr>
          <w:ilvl w:val="0"/>
          <w:numId w:val="0"/>
        </w:numPr>
        <w:ind w:left="0" w:hanging="0"/>
        <w:jc w:val="both"/>
        <w:outlineLvl w:val="0"/>
        <w:rPr>
          <w:rFonts w:ascii="Arial Narrow" w:hAnsi="Arial Narrow" w:cs="Arial"/>
          <w:bCs/>
          <w:sz w:val="12"/>
        </w:rPr>
      </w:pPr>
      <w:r>
        <w:rPr>
          <w:rFonts w:cs="Arial" w:ascii="Arial Narrow" w:hAnsi="Arial Narrow"/>
          <w:bCs/>
          <w:sz w:val="12"/>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1º.- Los documentos que se cobran en el presente proceso tienen la calidad de títulos ejecutivos según lo establecido en el artículo 487 del estatuto de rentas municipal (Acuerdo 020 de 2019), en concordancia con lo dispuesto en el artículo 828 del estatuto tributario nacional y código general del proceso.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2º.- Dicho proceso de cobro coactivo se adelantan con fundamento en títulos ejecutivos en firme y por lo tanto la acreencia está plenamente demostrada a favor de la entidad así:</w:t>
      </w:r>
    </w:p>
    <w:p>
      <w:pPr>
        <w:pStyle w:val="NoSpacing"/>
        <w:numPr>
          <w:ilvl w:val="0"/>
          <w:numId w:val="0"/>
        </w:numPr>
        <w:ind w:left="0" w:hanging="0"/>
        <w:jc w:val="both"/>
        <w:outlineLvl w:val="0"/>
        <w:rPr>
          <w:rFonts w:ascii="Arial Narrow" w:hAnsi="Arial Narrow" w:cs="Arial"/>
          <w:bCs/>
        </w:rPr>
      </w:pPr>
      <w:r>
        <w:rPr>
          <w:rFonts w:cs="Arial" w:ascii="Arial Narrow" w:hAnsi="Arial Narrow"/>
          <w:bCs/>
        </w:rPr>
      </w:r>
    </w:p>
    <w:tbl>
      <w:tblPr>
        <w:tblStyle w:val="Tablaconcuadrcula"/>
        <w:tblW w:w="882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255"/>
        <w:gridCol w:w="5572"/>
      </w:tblGrid>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ascii="Arial Narrow" w:hAnsi="Arial Narrow"/>
                <w:b/>
                <w:kern w:val="0"/>
                <w:lang w:val="es-CO" w:bidi="ar-SA"/>
              </w:rPr>
              <w:t>nombreRazonSocial (s)</w:t>
            </w:r>
          </w:p>
        </w:tc>
        <w:tc>
          <w:tcPr>
            <w:tcW w:w="5572" w:type="dxa"/>
            <w:tcBorders/>
          </w:tcPr>
          <w:p>
            <w:pPr>
              <w:pStyle w:val="Normal"/>
              <w:widowControl w:val="false"/>
              <w:suppressAutoHyphens w:val="true"/>
              <w:spacing w:before="0" w:after="0"/>
              <w:jc w:val="both"/>
              <w:rPr>
                <w:rFonts w:ascii="Arial Narrow" w:hAnsi="Arial Narrow" w:cs="Arial"/>
                <w:lang w:val="es-CO"/>
              </w:rPr>
            </w:pPr>
            <w:r>
              <w:rPr>
                <w:rFonts w:cs="Arial" w:ascii="Arial Narrow" w:hAnsi="Arial Narrow"/>
                <w:kern w:val="0"/>
                <w:lang w:bidi="ar-SA"/>
              </w:rPr>
              <w:t xml:space="preserve">: </w:t>
            </w:r>
            <w:r>
              <w:rPr>
                <w:rFonts w:eastAsia="Arial Narrow" w:cs="Arial Narrow" w:ascii="Arial Narrow" w:hAnsi="Arial Narrow"/>
                <w:kern w:val="0"/>
                <w:lang w:bidi="ar-SA"/>
              </w:rPr>
              <w:t>${nombreRazonSocial}</w:t>
            </w:r>
          </w:p>
        </w:tc>
      </w:tr>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cs="Arial" w:ascii="Arial Narrow" w:hAnsi="Arial Narrow"/>
                <w:b/>
                <w:kern w:val="0"/>
                <w:lang w:bidi="ar-SA"/>
              </w:rPr>
              <w:t>${nombreProceso}</w:t>
            </w:r>
          </w:p>
        </w:tc>
        <w:tc>
          <w:tcPr>
            <w:tcW w:w="5572" w:type="dxa"/>
            <w:tcBorders/>
          </w:tcPr>
          <w:p>
            <w:pPr>
              <w:pStyle w:val="Normal"/>
              <w:widowControl w:val="false"/>
              <w:suppressAutoHyphens w:val="true"/>
              <w:spacing w:before="0" w:after="0"/>
              <w:jc w:val="both"/>
              <w:rPr>
                <w:rFonts w:ascii="Arial Narrow" w:hAnsi="Arial Narrow" w:cs="Arial"/>
              </w:rPr>
            </w:pPr>
            <w:r>
              <w:rPr>
                <w:rFonts w:cs="Arial" w:ascii="Arial Narrow" w:hAnsi="Arial Narrow"/>
                <w:kern w:val="0"/>
                <w:lang w:bidi="ar-SA"/>
              </w:rPr>
              <w:t>: No. ${</w:t>
            </w:r>
            <w:r>
              <w:rPr>
                <w:rFonts w:eastAsia="Arial Narrow" w:cs="Arial Narrow" w:ascii="Arial Narrow" w:hAnsi="Arial Narrow"/>
                <w:kern w:val="0"/>
                <w:lang w:bidi="ar-SA"/>
              </w:rPr>
              <w:t>numeroLiquidacion</w:t>
            </w:r>
            <w:r>
              <w:rPr>
                <w:rFonts w:cs="Arial" w:ascii="Arial Narrow" w:hAnsi="Arial Narrow"/>
                <w:kern w:val="0"/>
                <w:lang w:bidi="ar-SA"/>
              </w:rPr>
              <w:t>}</w:t>
            </w:r>
          </w:p>
        </w:tc>
      </w:tr>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cs="Arial" w:ascii="Arial Narrow" w:hAnsi="Arial Narrow"/>
                <w:b/>
                <w:kern w:val="0"/>
                <w:lang w:val="es-CO" w:bidi="ar-SA"/>
              </w:rPr>
              <w:t>Año (s) Gravable (es)</w:t>
            </w:r>
          </w:p>
        </w:tc>
        <w:tc>
          <w:tcPr>
            <w:tcW w:w="5572" w:type="dxa"/>
            <w:tcBorders/>
          </w:tcPr>
          <w:p>
            <w:pPr>
              <w:pStyle w:val="Normal"/>
              <w:widowControl w:val="false"/>
              <w:suppressAutoHyphens w:val="true"/>
              <w:spacing w:before="0" w:after="0"/>
              <w:jc w:val="both"/>
              <w:rPr>
                <w:rFonts w:ascii="Arial Narrow" w:hAnsi="Arial Narrow" w:cs="Arial"/>
                <w:lang w:val="es-CO"/>
              </w:rPr>
            </w:pPr>
            <w:r>
              <w:rPr>
                <w:rFonts w:cs="Arial" w:ascii="Arial Narrow" w:hAnsi="Arial Narrow"/>
                <w:kern w:val="0"/>
                <w:lang w:bidi="ar-SA"/>
              </w:rPr>
              <w:t xml:space="preserve">: </w:t>
            </w:r>
            <w:r>
              <w:rPr>
                <w:rFonts w:eastAsia="Arial Narrow" w:cs="Arial Narrow" w:ascii="Arial Narrow" w:hAnsi="Arial Narrow"/>
                <w:kern w:val="0"/>
                <w:lang w:bidi="ar-SA"/>
              </w:rPr>
              <w:t>${</w:t>
            </w:r>
            <w:r>
              <w:rPr>
                <w:rFonts w:eastAsia="Arial Narrow" w:cs="Arial Narrow" w:ascii="Arial Narrow" w:hAnsi="Arial Narrow"/>
                <w:kern w:val="0"/>
                <w:sz w:val="22"/>
                <w:szCs w:val="22"/>
                <w:lang w:val="es-CO" w:eastAsia="zh-CN" w:bidi="hi-IN"/>
              </w:rPr>
              <w:t>vigenciaexpediente</w:t>
            </w:r>
            <w:r>
              <w:rPr>
                <w:rFonts w:eastAsia="Arial Narrow" w:cs="Arial Narrow" w:ascii="Arial Narrow" w:hAnsi="Arial Narrow"/>
                <w:kern w:val="0"/>
                <w:lang w:bidi="ar-SA"/>
              </w:rPr>
              <w:t>}</w:t>
            </w:r>
          </w:p>
        </w:tc>
      </w:tr>
    </w:tbl>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 xml:space="preserve">3. Que, a la fecha, no se ha obtenido el pago de las obligaciones pendientes, circunstancia que permite a este Despacho, adelantar las actuaciones tendientes a garantizar el recaudo del tributo a cargo del </w:t>
      </w:r>
      <w:r>
        <w:rPr>
          <w:rFonts w:cs="Arial" w:ascii="Arial Narrow" w:hAnsi="Arial Narrow"/>
          <w:bCs/>
        </w:rPr>
        <w:t>contribuyente</w:t>
      </w:r>
      <w:r>
        <w:rPr>
          <w:rFonts w:cs="Arial" w:ascii="Arial Narrow" w:hAnsi="Arial Narrow"/>
          <w:bCs/>
        </w:rPr>
        <w:t xml:space="preserve"> ejecutado.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 xml:space="preserve">4. Que una vez realizada la correspondiente consulta de las actividades comerciales que ejecuta el </w:t>
      </w:r>
      <w:r>
        <w:rPr>
          <w:rFonts w:cs="Arial" w:ascii="Arial Narrow" w:hAnsi="Arial Narrow"/>
          <w:bCs/>
        </w:rPr>
        <w:t>contribuyente</w:t>
      </w:r>
      <w:r>
        <w:rPr>
          <w:rFonts w:cs="Arial" w:ascii="Arial Narrow" w:hAnsi="Arial Narrow"/>
          <w:bCs/>
        </w:rPr>
        <w:t xml:space="preserve"> se pudo evidenciar que corresponden a las relacionadas con comercio al por mayor de productos alimenticios, otras actividades de asistencia social sin alojamiento n.c.p., expendio a la mesa de comidas preparadas y catering para eventos, por tanto, es viable concluir que procede el decreto de medidas cautelares a la empresa, entidad y/o corporación administrativa que les presta el servicio.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5. El Estatuto de Rentas Municipal (Acuerdo 020 de 2019), en sus artículos 498 al 501, en concordancia con lo dispuesto en los artículos 837, 838 y 839, parágrafo, confieren la facultad al Secretario de Hacienda para decretar y practicar medidas cautelares sobre los bienes del deudor.</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Por lo anteriormente expuesto la suscrita secretaria de Hacienda,</w:t>
      </w:r>
    </w:p>
    <w:p>
      <w:pPr>
        <w:pStyle w:val="NoSpacing"/>
        <w:numPr>
          <w:ilvl w:val="0"/>
          <w:numId w:val="0"/>
        </w:numPr>
        <w:ind w:left="0" w:hanging="0"/>
        <w:jc w:val="both"/>
        <w:outlineLvl w:val="0"/>
        <w:rPr>
          <w:rFonts w:ascii="Arial Narrow" w:hAnsi="Arial Narrow" w:cs="Arial"/>
          <w:bCs/>
        </w:rPr>
      </w:pPr>
      <w:r>
        <w:rPr>
          <w:rFonts w:cs="Arial" w:ascii="Arial Narrow" w:hAnsi="Arial Narrow"/>
          <w:bCs/>
        </w:rPr>
      </w:r>
    </w:p>
    <w:p>
      <w:pPr>
        <w:pStyle w:val="NoSpacing"/>
        <w:numPr>
          <w:ilvl w:val="0"/>
          <w:numId w:val="0"/>
        </w:numPr>
        <w:ind w:left="0" w:hanging="0"/>
        <w:jc w:val="center"/>
        <w:outlineLvl w:val="0"/>
        <w:rPr>
          <w:rFonts w:ascii="Arial Narrow" w:hAnsi="Arial Narrow" w:cs="Arial"/>
          <w:b/>
          <w:b/>
        </w:rPr>
      </w:pPr>
      <w:r>
        <w:rPr>
          <w:rFonts w:cs="Arial" w:ascii="Arial Narrow" w:hAnsi="Arial Narrow"/>
          <w:b/>
        </w:rPr>
        <w:t>RESUELVE</w:t>
      </w:r>
    </w:p>
    <w:p>
      <w:pPr>
        <w:pStyle w:val="NoSpacing"/>
        <w:numPr>
          <w:ilvl w:val="0"/>
          <w:numId w:val="0"/>
        </w:numPr>
        <w:ind w:left="0" w:hanging="0"/>
        <w:jc w:val="center"/>
        <w:outlineLvl w:val="0"/>
        <w:rPr>
          <w:rFonts w:ascii="Arial Narrow" w:hAnsi="Arial Narrow" w:cs="Arial"/>
          <w:b/>
          <w:b/>
        </w:rPr>
      </w:pPr>
      <w:r>
        <w:rPr>
          <w:rFonts w:cs="Arial" w:ascii="Arial Narrow" w:hAnsi="Arial Narrow"/>
          <w:b/>
        </w:rPr>
      </w:r>
    </w:p>
    <w:p>
      <w:pPr>
        <w:pStyle w:val="NoSpacing"/>
        <w:numPr>
          <w:ilvl w:val="0"/>
          <w:numId w:val="0"/>
        </w:numPr>
        <w:ind w:left="0" w:hanging="0"/>
        <w:jc w:val="both"/>
        <w:outlineLvl w:val="0"/>
        <w:rPr>
          <w:rFonts w:ascii="Arial Narrow" w:hAnsi="Arial Narrow" w:cs="Arial"/>
          <w:bCs/>
          <w:sz w:val="12"/>
        </w:rPr>
      </w:pPr>
      <w:r>
        <w:rPr>
          <w:rFonts w:cs="Arial" w:ascii="Arial Narrow" w:hAnsi="Arial Narrow"/>
          <w:bCs/>
          <w:sz w:val="12"/>
        </w:rPr>
      </w:r>
    </w:p>
    <w:tbl>
      <w:tblPr>
        <w:tblW w:w="5000" w:type="pct"/>
        <w:jc w:val="left"/>
        <w:tblInd w:w="0" w:type="dxa"/>
        <w:tblLayout w:type="fixed"/>
        <w:tblCellMar>
          <w:top w:w="0" w:type="dxa"/>
          <w:left w:w="0" w:type="dxa"/>
          <w:bottom w:w="0" w:type="dxa"/>
          <w:right w:w="0" w:type="dxa"/>
        </w:tblCellMar>
      </w:tblPr>
      <w:tblGrid>
        <w:gridCol w:w="10198"/>
      </w:tblGrid>
      <w:tr>
        <w:trPr/>
        <w:tc>
          <w:tcPr>
            <w:tcW w:w="10198" w:type="dxa"/>
            <w:tcBorders/>
          </w:tcPr>
          <w:p>
            <w:pPr>
              <w:pStyle w:val="Contenidodelatabla"/>
              <w:widowControl w:val="false"/>
              <w:jc w:val="both"/>
              <w:rPr/>
            </w:pPr>
            <w:r>
              <w:rPr/>
            </w:r>
          </w:p>
          <w:p>
            <w:pPr>
              <w:pStyle w:val="Contenidodelatabla"/>
              <w:widowControl w:val="false"/>
              <w:jc w:val="both"/>
              <w:rPr/>
            </w:pPr>
            <w:r>
              <w:rPr/>
              <w:t>${t_articulo}</w:t>
            </w:r>
          </w:p>
          <w:p>
            <w:pPr>
              <w:pStyle w:val="Contenidodelatabla"/>
              <w:widowControl w:val="false"/>
              <w:jc w:val="both"/>
              <w:rPr/>
            </w:pPr>
            <w:r>
              <w:rPr/>
            </w:r>
          </w:p>
          <w:p>
            <w:pPr>
              <w:pStyle w:val="Contenidodelatabla"/>
              <w:widowControl w:val="false"/>
              <w:jc w:val="center"/>
              <w:rPr/>
            </w:pPr>
            <w:r>
              <w:rPr/>
              <w:t>${t_informacion}</w:t>
            </w:r>
          </w:p>
          <w:p>
            <w:pPr>
              <w:pStyle w:val="Contenidodelatabla"/>
              <w:widowControl w:val="false"/>
              <w:jc w:val="center"/>
              <w:rPr/>
            </w:pPr>
            <w:r>
              <w:rPr/>
            </w:r>
          </w:p>
          <w:p>
            <w:pPr>
              <w:pStyle w:val="Contenidodelatabla"/>
              <w:widowControl w:val="false"/>
              <w:jc w:val="both"/>
              <w:rPr/>
            </w:pPr>
            <w:r>
              <w:rPr/>
              <w:t>Se libre el correspondiente oficio al Pagador(a) o quien haga sus veces, de la empresa relacionada anteriormente, con la</w:t>
            </w:r>
          </w:p>
          <w:p>
            <w:pPr>
              <w:pStyle w:val="Contenidodelatabla"/>
              <w:widowControl w:val="false"/>
              <w:jc w:val="both"/>
              <w:rPr/>
            </w:pPr>
            <w:r>
              <w:rPr/>
              <w:t>advertencia que el no cumplimiento de la orden judicial le hará acreedor de las sanciones establecidas en el artículo 593</w:t>
            </w:r>
          </w:p>
          <w:p>
            <w:pPr>
              <w:pStyle w:val="Contenidodelatabla"/>
              <w:widowControl w:val="false"/>
              <w:jc w:val="both"/>
              <w:rPr/>
            </w:pPr>
            <w:r>
              <w:rPr/>
              <w:t xml:space="preserve">parágrafo 2 del C.G.P. y responsable solidario de la obligación a cargo del </w:t>
            </w:r>
            <w:r>
              <w:rPr/>
              <w:t>contribuyente</w:t>
            </w:r>
            <w:r>
              <w:rPr/>
              <w:t>.</w:t>
            </w:r>
          </w:p>
          <w:p>
            <w:pPr>
              <w:pStyle w:val="Contenidodelatabla"/>
              <w:widowControl w:val="false"/>
              <w:jc w:val="both"/>
              <w:rPr/>
            </w:pPr>
            <w:r>
              <w:rPr/>
            </w:r>
          </w:p>
          <w:p>
            <w:pPr>
              <w:pStyle w:val="Contenidodelatabla"/>
              <w:widowControl w:val="false"/>
              <w:jc w:val="both"/>
              <w:rPr/>
            </w:pPr>
            <w:r>
              <w:rPr>
                <w:b/>
                <w:bCs/>
              </w:rPr>
              <w:t xml:space="preserve">Parágrafo Primero: </w:t>
            </w:r>
            <w:r>
              <w:rPr/>
              <w:t>se advierte a la entidad financiera que los dineros retenidos deberán ser consignados en la Cuenta de</w:t>
            </w:r>
          </w:p>
          <w:p>
            <w:pPr>
              <w:pStyle w:val="Contenidodelatabla"/>
              <w:widowControl w:val="false"/>
              <w:jc w:val="both"/>
              <w:rPr/>
            </w:pPr>
            <w:r>
              <w:rPr/>
              <w:t xml:space="preserve">Depósito Judiciales No </w:t>
            </w:r>
            <w:r>
              <w:rPr>
                <w:b/>
                <w:bCs/>
              </w:rPr>
              <w:t>850109195002</w:t>
            </w:r>
            <w:r>
              <w:rPr/>
              <w:t xml:space="preserve"> que el municipio de Aguazul tiene en el Banco Agrario de Colombia, sucursal Aguazul.</w:t>
            </w:r>
          </w:p>
          <w:p>
            <w:pPr>
              <w:pStyle w:val="Contenidodelatabla"/>
              <w:widowControl w:val="false"/>
              <w:jc w:val="both"/>
              <w:rPr/>
            </w:pPr>
            <w:r>
              <w:rPr/>
            </w:r>
          </w:p>
        </w:tc>
      </w:tr>
    </w:tbl>
    <w:p>
      <w:pPr>
        <w:pStyle w:val="NoSpacing"/>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u w:val="single"/>
        </w:rPr>
        <w:t>Artículo Tercero</w:t>
      </w:r>
      <w:r>
        <w:rPr>
          <w:rFonts w:cs="Arial" w:ascii="Arial Narrow" w:hAnsi="Arial Narrow"/>
        </w:rPr>
        <w:t xml:space="preserve">: Limitación de la medida: Se limita las medidas cautelares decretadas a la suma de </w:t>
      </w:r>
      <w:r>
        <w:rPr>
          <w:rFonts w:cs="Arial" w:ascii="Arial Narrow" w:hAnsi="Arial Narrow"/>
          <w:b/>
        </w:rPr>
        <w:t>TRES MILLONES CUATROCIENTOS DIECINUEVE MIL PESOS ($ 3.419.000)</w:t>
      </w:r>
      <w:r>
        <w:rPr>
          <w:rFonts w:cs="Arial" w:ascii="Arial Narrow" w:hAnsi="Arial Narrow"/>
        </w:rPr>
        <w:t>, de conformidad con lo establecido en el artículo 499 del estatuto de rentas municipal (Acuerdo 020 de 2016), en concordancia con el artículo 838 del estatuto tributario Nacional.</w:t>
      </w:r>
    </w:p>
    <w:p>
      <w:pPr>
        <w:pStyle w:val="NoSpacing"/>
        <w:jc w:val="both"/>
        <w:rPr>
          <w:rFonts w:ascii="Arial Narrow" w:hAnsi="Arial Narrow" w:cs="Arial"/>
        </w:rPr>
      </w:pPr>
      <w:r>
        <w:rPr>
          <w:rFonts w:cs="Arial" w:ascii="Arial Narrow" w:hAnsi="Arial Narrow"/>
        </w:rPr>
      </w:r>
    </w:p>
    <w:p>
      <w:pPr>
        <w:pStyle w:val="Normal"/>
        <w:jc w:val="both"/>
        <w:rPr>
          <w:rFonts w:ascii="Arial Narrow" w:hAnsi="Arial Narrow" w:cs="Arial"/>
          <w:sz w:val="22"/>
          <w:szCs w:val="22"/>
        </w:rPr>
      </w:pPr>
      <w:r>
        <w:rPr>
          <w:rFonts w:cs="Arial" w:ascii="Arial Narrow" w:hAnsi="Arial Narrow"/>
          <w:b/>
          <w:sz w:val="22"/>
          <w:szCs w:val="22"/>
          <w:u w:val="single"/>
        </w:rPr>
        <w:t>Artículo Cuarto</w:t>
      </w:r>
      <w:r>
        <w:rPr>
          <w:rFonts w:cs="Arial" w:ascii="Arial Narrow" w:hAnsi="Arial Narrow"/>
          <w:sz w:val="22"/>
          <w:szCs w:val="22"/>
        </w:rPr>
        <w:t xml:space="preserve">: </w:t>
      </w:r>
      <w:r>
        <w:rPr>
          <w:rFonts w:cs="Arial" w:ascii="Arial Narrow" w:hAnsi="Arial Narrow"/>
          <w:bCs/>
          <w:sz w:val="22"/>
          <w:szCs w:val="22"/>
        </w:rPr>
        <w:t>líbrense los oficios correspondientes y sus respectivos registros en las</w:t>
      </w:r>
      <w:r>
        <w:rPr>
          <w:rFonts w:cs="Arial" w:ascii="Arial Narrow" w:hAnsi="Arial Narrow"/>
          <w:sz w:val="22"/>
          <w:szCs w:val="22"/>
        </w:rPr>
        <w:t xml:space="preserve"> oficinas competentes.</w:t>
      </w:r>
    </w:p>
    <w:p>
      <w:pPr>
        <w:pStyle w:val="NoSpacing"/>
        <w:jc w:val="both"/>
        <w:rPr>
          <w:rFonts w:ascii="Arial Narrow" w:hAnsi="Arial Narrow" w:cs="Arial"/>
        </w:rPr>
      </w:pPr>
      <w:r>
        <w:rPr>
          <w:rFonts w:cs="Arial" w:ascii="Arial Narrow" w:hAnsi="Arial Narrow"/>
        </w:rPr>
      </w:r>
    </w:p>
    <w:p>
      <w:pPr>
        <w:pStyle w:val="Normal"/>
        <w:tabs>
          <w:tab w:val="clear" w:pos="708"/>
          <w:tab w:val="left" w:pos="2340" w:leader="none"/>
        </w:tabs>
        <w:jc w:val="both"/>
        <w:rPr>
          <w:rFonts w:ascii="Arial Narrow" w:hAnsi="Arial Narrow" w:cs="Arial"/>
          <w:sz w:val="22"/>
          <w:szCs w:val="22"/>
        </w:rPr>
      </w:pPr>
      <w:r>
        <w:rPr>
          <w:rFonts w:cs="Arial" w:ascii="Arial Narrow" w:hAnsi="Arial Narrow"/>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t>COMUNÍQUESE, NOTIFÍQUESE Y CÚMPLASE,</w:t>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bCs/>
          <w:color w:val="000000" w:themeColor="text1"/>
        </w:rPr>
      </w:pPr>
      <w:r>
        <w:rPr>
          <w:rFonts w:cs="Arial" w:ascii="Arial Narrow" w:hAnsi="Arial Narrow"/>
          <w:bCs/>
          <w:color w:val="000000" w:themeColor="text1"/>
        </w:rPr>
        <w:t>Secretaria de despacho</w:t>
      </w:r>
    </w:p>
    <w:p>
      <w:pPr>
        <w:pStyle w:val="NoSpacing"/>
        <w:jc w:val="center"/>
        <w:rPr>
          <w:rFonts w:ascii="Arial Narrow" w:hAnsi="Arial Narrow" w:cs="Arial"/>
          <w:bCs/>
          <w:color w:val="000000" w:themeColor="text1"/>
        </w:rPr>
      </w:pPr>
      <w:r>
        <w:rPr>
          <w:rFonts w:cs="Arial" w:ascii="Arial Narrow" w:hAnsi="Arial Narrow"/>
          <w:bCs/>
          <w:color w:val="000000" w:themeColor="text1"/>
        </w:rPr>
        <w:t>Secretaría de Hacienda</w:t>
      </w:r>
    </w:p>
    <w:p>
      <w:pPr>
        <w:pStyle w:val="NoSpacing"/>
        <w:jc w:val="center"/>
        <w:rPr>
          <w:rFonts w:ascii="Arial Narrow" w:hAnsi="Arial Narrow" w:cs="Arial"/>
          <w:bCs/>
          <w:color w:val="000000" w:themeColor="text1"/>
        </w:rPr>
      </w:pPr>
      <w:r>
        <w:rPr>
          <w:rFonts w:cs="Arial" w:ascii="Arial Narrow" w:hAnsi="Arial Narrow"/>
          <w:bCs/>
          <w:color w:val="000000" w:themeColor="text1"/>
        </w:rPr>
      </w:r>
    </w:p>
    <w:p>
      <w:pPr>
        <w:pStyle w:val="NoSpacing"/>
        <w:jc w:val="center"/>
        <w:rPr>
          <w:rFonts w:ascii="Arial Narrow" w:hAnsi="Arial Narrow" w:cs="Arial"/>
          <w:bCs/>
          <w:color w:val="000000" w:themeColor="text1"/>
        </w:rPr>
      </w:pPr>
      <w:r>
        <w:rPr>
          <w:rFonts w:cs="Arial" w:ascii="Arial Narrow" w:hAnsi="Arial Narrow"/>
          <w:bCs/>
          <w:color w:val="000000" w:themeColor="text1"/>
        </w:rPr>
      </w:r>
    </w:p>
    <w:p>
      <w:pPr>
        <w:pStyle w:val="Normal"/>
        <w:rPr>
          <w:rFonts w:ascii="Arial" w:hAnsi="Arial" w:cs="Arial"/>
          <w:b/>
          <w:b/>
          <w:sz w:val="14"/>
          <w:szCs w:val="14"/>
        </w:rPr>
      </w:pPr>
      <w:r>
        <w:rPr>
          <w:rFonts w:cs="Arial" w:ascii="Arial" w:hAnsi="Arial"/>
          <w:b/>
          <w:sz w:val="14"/>
          <w:szCs w:val="14"/>
        </w:rPr>
      </w:r>
    </w:p>
    <w:p>
      <w:pPr>
        <w:pStyle w:val="NoSpacing"/>
        <w:numPr>
          <w:ilvl w:val="0"/>
          <w:numId w:val="0"/>
        </w:numPr>
        <w:ind w:left="0" w:hanging="0"/>
        <w:jc w:val="both"/>
        <w:outlineLvl w:val="0"/>
        <w:rPr>
          <w:rFonts w:ascii="Arial" w:hAnsi="Arial" w:cs="Arial"/>
          <w:sz w:val="14"/>
          <w:szCs w:val="14"/>
        </w:rPr>
      </w:pPr>
      <w:r>
        <w:rPr>
          <w:rFonts w:cs="Arial" w:ascii="Arial" w:hAnsi="Arial"/>
          <w:b/>
          <w:sz w:val="14"/>
          <w:szCs w:val="14"/>
        </w:rPr>
        <w:t>Revisión jurídica:</w:t>
      </w:r>
      <w:r>
        <w:rPr>
          <w:rFonts w:cs="Arial" w:ascii="Arial" w:hAnsi="Arial"/>
          <w:sz w:val="14"/>
          <w:szCs w:val="14"/>
        </w:rPr>
        <w:t xml:space="preserve"> </w:t>
      </w:r>
      <w:r>
        <w:rPr>
          <w:rFonts w:cs="Arial" w:ascii="Arial" w:hAnsi="Arial"/>
          <w:b w:val="false"/>
          <w:bCs w:val="false"/>
          <w:sz w:val="14"/>
          <w:szCs w:val="14"/>
          <w:u w:val="none"/>
        </w:rPr>
        <w:t>${</w:t>
      </w:r>
      <w:r>
        <w:rPr>
          <w:rFonts w:cs="Arial" w:ascii="Arial" w:hAnsi="Arial"/>
          <w:b w:val="false"/>
          <w:bCs w:val="false"/>
          <w:i w:val="false"/>
          <w:caps w:val="false"/>
          <w:smallCaps w:val="false"/>
          <w:color w:val="000000"/>
          <w:spacing w:val="0"/>
          <w:sz w:val="14"/>
          <w:szCs w:val="14"/>
          <w:u w:val="none"/>
        </w:rPr>
        <w:t>elaborodocumento</w:t>
      </w:r>
      <w:r>
        <w:rPr>
          <w:rFonts w:cs="Arial" w:ascii="Arial" w:hAnsi="Arial"/>
          <w:b w:val="false"/>
          <w:bCs w:val="false"/>
          <w:sz w:val="14"/>
          <w:szCs w:val="14"/>
          <w:u w:val="none"/>
        </w:rPr>
        <w:t>}</w:t>
      </w:r>
      <w:r>
        <w:rPr>
          <w:rFonts w:cs="Arial" w:ascii="Arial" w:hAnsi="Arial"/>
          <w:sz w:val="14"/>
          <w:szCs w:val="14"/>
        </w:rPr>
        <w:t xml:space="preserve">                                                                </w:t>
      </w:r>
      <w:r>
        <w:rPr>
          <w:rFonts w:cs="Arial" w:ascii="Arial" w:hAnsi="Arial"/>
          <w:b/>
          <w:sz w:val="14"/>
          <w:szCs w:val="14"/>
        </w:rPr>
        <w:t>Revisó:</w:t>
      </w:r>
      <w:r>
        <w:rPr>
          <w:rFonts w:cs="Arial" w:ascii="Arial" w:hAnsi="Arial"/>
          <w:sz w:val="14"/>
          <w:szCs w:val="14"/>
        </w:rPr>
        <w:t xml:space="preserve"> NURY ESMERALDA RODRÍGUEZ BUITRAGO</w:t>
      </w:r>
    </w:p>
    <w:p>
      <w:pPr>
        <w:pStyle w:val="NoSpacing"/>
        <w:numPr>
          <w:ilvl w:val="0"/>
          <w:numId w:val="0"/>
        </w:numPr>
        <w:ind w:left="0" w:hanging="0"/>
        <w:jc w:val="both"/>
        <w:outlineLvl w:val="0"/>
        <w:rPr>
          <w:rFonts w:ascii="Arial" w:hAnsi="Arial" w:cs="Arial"/>
          <w:sz w:val="14"/>
          <w:szCs w:val="14"/>
        </w:rPr>
      </w:pPr>
      <w:r>
        <w:rPr>
          <w:rFonts w:cs="Arial" w:ascii="Arial" w:hAnsi="Arial"/>
          <w:sz w:val="14"/>
          <w:szCs w:val="14"/>
        </w:rPr>
        <w:t xml:space="preserve">                                                                                                                                        </w:t>
      </w:r>
      <w:r>
        <w:rPr>
          <w:rFonts w:cs="Arial" w:ascii="Arial" w:hAnsi="Arial"/>
          <w:sz w:val="14"/>
          <w:szCs w:val="14"/>
        </w:rPr>
        <w:t>Profesional Universitario de Impuestos</w:t>
      </w:r>
    </w:p>
    <w:p>
      <w:pPr>
        <w:pStyle w:val="Normal"/>
        <w:numPr>
          <w:ilvl w:val="0"/>
          <w:numId w:val="0"/>
        </w:numPr>
        <w:ind w:left="0" w:hanging="0"/>
        <w:jc w:val="both"/>
        <w:outlineLvl w:val="0"/>
        <w:rPr>
          <w:rFonts w:ascii="Arial Narrow" w:hAnsi="Arial Narrow" w:eastAsia="Calibri" w:cs="Arial"/>
          <w:sz w:val="16"/>
          <w:szCs w:val="15"/>
        </w:rPr>
      </w:pPr>
      <w:r>
        <w:rPr>
          <w:rFonts w:eastAsia="Calibri" w:cs="Arial" w:ascii="Arial Narrow" w:hAnsi="Arial Narrow"/>
          <w:sz w:val="16"/>
          <w:szCs w:val="15"/>
        </w:rPr>
      </w:r>
    </w:p>
    <w:p>
      <w:pPr>
        <w:pStyle w:val="Normal"/>
        <w:numPr>
          <w:ilvl w:val="0"/>
          <w:numId w:val="0"/>
        </w:numPr>
        <w:ind w:left="0" w:hanging="0"/>
        <w:jc w:val="both"/>
        <w:outlineLvl w:val="0"/>
        <w:rPr>
          <w:rFonts w:ascii="Arial Narrow" w:hAnsi="Arial Narrow" w:eastAsia="Calibri" w:cs="Arial"/>
          <w:sz w:val="12"/>
          <w:szCs w:val="11"/>
          <w:lang w:eastAsia="en-US"/>
        </w:rPr>
      </w:pPr>
      <w:r>
        <w:rPr>
          <w:rFonts w:eastAsia="Calibri" w:cs="Arial" w:ascii="Arial Narrow" w:hAnsi="Arial Narrow"/>
          <w:sz w:val="12"/>
          <w:szCs w:val="11"/>
          <w:lang w:eastAsia="en-US"/>
        </w:rPr>
      </w:r>
    </w:p>
    <w:p>
      <w:pPr>
        <w:pStyle w:val="Normal"/>
        <w:numPr>
          <w:ilvl w:val="0"/>
          <w:numId w:val="0"/>
        </w:numPr>
        <w:ind w:left="0" w:hanging="0"/>
        <w:jc w:val="both"/>
        <w:outlineLvl w:val="0"/>
        <w:rPr>
          <w:rFonts w:ascii="Arial Narrow" w:hAnsi="Arial Narrow" w:eastAsia="Calibri" w:cs="Arial"/>
          <w:sz w:val="12"/>
          <w:szCs w:val="11"/>
          <w:lang w:val="es-CO" w:eastAsia="en-US"/>
        </w:rPr>
      </w:pPr>
      <w:r>
        <w:rPr/>
      </w:r>
    </w:p>
    <w:sectPr>
      <w:headerReference w:type="default" r:id="rId2"/>
      <w:footerReference w:type="default" r:id="rId3"/>
      <w:type w:val="nextPage"/>
      <w:pgSz w:w="12240" w:h="15840"/>
      <w:pgMar w:left="1021" w:right="1021" w:gutter="0" w:header="283" w:top="1418" w:footer="85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3">
          <wp:simplePos x="0" y="0"/>
          <wp:positionH relativeFrom="column">
            <wp:posOffset>5371465</wp:posOffset>
          </wp:positionH>
          <wp:positionV relativeFrom="paragraph">
            <wp:posOffset>-34290</wp:posOffset>
          </wp:positionV>
          <wp:extent cx="1028700" cy="675640"/>
          <wp:effectExtent l="0" t="0" r="0" b="0"/>
          <wp:wrapNone/>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1028700" cy="675640"/>
                  </a:xfrm>
                  <a:prstGeom prst="rect">
                    <a:avLst/>
                  </a:prstGeom>
                </pic:spPr>
              </pic:pic>
            </a:graphicData>
          </a:graphic>
        </wp:anchor>
      </w:drawing>
      <w:drawing>
        <wp:anchor behindDoc="1" distT="0" distB="0" distL="0" distR="0" simplePos="0" locked="0" layoutInCell="0" allowOverlap="1" relativeHeight="5">
          <wp:simplePos x="0" y="0"/>
          <wp:positionH relativeFrom="margin">
            <wp:posOffset>-635</wp:posOffset>
          </wp:positionH>
          <wp:positionV relativeFrom="paragraph">
            <wp:posOffset>13970</wp:posOffset>
          </wp:positionV>
          <wp:extent cx="5267325" cy="628015"/>
          <wp:effectExtent l="0" t="0" r="0" b="0"/>
          <wp:wrapNone/>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5267325" cy="628015"/>
                  </a:xfrm>
                  <a:prstGeom prst="rect">
                    <a:avLst/>
                  </a:prstGeom>
                </pic:spPr>
              </pic:pic>
            </a:graphicData>
          </a:graphic>
        </wp:anchor>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b/>
              <w:b/>
            </w:rPr>
          </w:pPr>
          <w:r>
            <w:rPr>
              <w:rFonts w:cs="Arial" w:ascii="Arial" w:hAnsi="Arial"/>
              <w:b/>
              <w:kern w:val="0"/>
              <w:lang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venirNext LT Pro Regular" w:hAnsi="AvenirNext LT Pro Regular"/>
              <w:bCs/>
            </w:rPr>
          </w:pPr>
          <w:r>
            <w:rPr>
              <w:rFonts w:cs="Arial" w:ascii="Arial" w:hAnsi="Arial"/>
              <w:bCs/>
              <w:kern w:val="0"/>
              <w:lang w:eastAsia="es-CO" w:bidi="ar-SA"/>
            </w:rPr>
            <w:t>${logo_entidad_gimg}</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cs="Arial" w:ascii="Arial" w:hAnsi="Arial"/>
              <w:b/>
              <w:kern w:val="0"/>
              <w:sz w:val="20"/>
              <w:szCs w:val="20"/>
              <w:lang w:val="es-ES_tradnl" w:eastAsia="es-CO"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venirNext LT Pro Regular" w:hAnsi="AvenirNext LT Pro Regular"/>
            </w:rPr>
          </w:pPr>
          <w:r>
            <w:rPr>
              <w:rFonts w:ascii="AvenirNext LT Pro Regular" w:hAnsi="AvenirNext LT Pro Regular"/>
              <w:kern w:val="0"/>
              <w:lang w:eastAsia="es-CO" w:bidi="ar-SA"/>
            </w:rPr>
            <w:t>${slogan_gimg}</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left"/>
            <w:rPr>
              <w:rFonts w:ascii="AvenirNext LT Pro Regular" w:hAnsi="AvenirNext LT Pro Regular"/>
              <w:sz w:val="18"/>
              <w:szCs w:val="18"/>
            </w:rPr>
          </w:pPr>
          <w:r>
            <w:rPr>
              <w:rFonts w:ascii="AvenirNext LT Pro Regular" w:hAnsi="AvenirNext LT Pro Regular"/>
              <w:sz w:val="18"/>
              <w:szCs w:val="18"/>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 xml:space="preserve">Código: </w:t>
          </w:r>
          <w:r>
            <w:rPr>
              <w:rFonts w:cs="Arial" w:ascii="Arial" w:hAnsi="Arial"/>
              <w:kern w:val="0"/>
              <w:lang w:val="es-ES_tradnl"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left"/>
            <w:rPr>
              <w:rFonts w:ascii="AvenirNext LT Pro Regular" w:hAnsi="AvenirNext LT Pro Regular"/>
              <w:sz w:val="18"/>
              <w:szCs w:val="18"/>
            </w:rPr>
          </w:pPr>
          <w:r>
            <w:rPr>
              <w:rFonts w:ascii="AvenirNext LT Pro Regular" w:hAnsi="AvenirNext LT Pro Regular"/>
              <w:sz w:val="18"/>
              <w:szCs w:val="18"/>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009b"/>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32009b"/>
    <w:rPr/>
  </w:style>
  <w:style w:type="character" w:styleId="PiedepginaCar" w:customStyle="1">
    <w:name w:val="Pie de página Car"/>
    <w:basedOn w:val="DefaultParagraphFont"/>
    <w:uiPriority w:val="99"/>
    <w:qFormat/>
    <w:rsid w:val="0032009b"/>
    <w:rPr/>
  </w:style>
  <w:style w:type="character" w:styleId="EnlacedeInternet">
    <w:name w:val="Enlace de Internet"/>
    <w:uiPriority w:val="99"/>
    <w:rsid w:val="0032009b"/>
    <w:rPr>
      <w:color w:val="0000FF"/>
      <w:u w:val="single"/>
    </w:rPr>
  </w:style>
  <w:style w:type="character" w:styleId="SinespaciadoCar" w:customStyle="1">
    <w:name w:val="Sin espaciado Car"/>
    <w:basedOn w:val="DefaultParagraphFont"/>
    <w:link w:val="NoSpacing"/>
    <w:uiPriority w:val="1"/>
    <w:qFormat/>
    <w:locked/>
    <w:rsid w:val="00a50cb3"/>
    <w:rPr>
      <w:rFonts w:ascii="Calibri" w:hAnsi="Calibri" w:eastAsia="Calibri" w:cs="Times New Roman"/>
    </w:rPr>
  </w:style>
  <w:style w:type="character" w:styleId="Pullright" w:customStyle="1">
    <w:name w:val="pull-right"/>
    <w:basedOn w:val="DefaultParagraphFont"/>
    <w:qFormat/>
    <w:rsid w:val="00f1325c"/>
    <w:rPr/>
  </w:style>
  <w:style w:type="character" w:styleId="TextodegloboCar" w:customStyle="1">
    <w:name w:val="Texto de globo Car"/>
    <w:basedOn w:val="DefaultParagraphFont"/>
    <w:link w:val="BalloonText"/>
    <w:uiPriority w:val="99"/>
    <w:semiHidden/>
    <w:qFormat/>
    <w:rsid w:val="00d924f4"/>
    <w:rPr>
      <w:rFonts w:ascii="Segoe UI" w:hAnsi="Segoe UI" w:eastAsia="Times New Roman" w:cs="Segoe UI"/>
      <w:sz w:val="18"/>
      <w:szCs w:val="18"/>
      <w:lang w:val="es-ES" w:eastAsia="es-ES"/>
    </w:rPr>
  </w:style>
  <w:style w:type="character" w:styleId="Mencinsinresolver1" w:customStyle="1">
    <w:name w:val="Mención sin resolver1"/>
    <w:basedOn w:val="DefaultParagraphFont"/>
    <w:uiPriority w:val="99"/>
    <w:semiHidden/>
    <w:unhideWhenUsed/>
    <w:qFormat/>
    <w:rsid w:val="00ce1e9b"/>
    <w:rPr>
      <w:color w:val="605E5C"/>
      <w:shd w:fill="E1DFDD" w:val="clear"/>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unhideWhenUsed/>
    <w:rsid w:val="0032009b"/>
    <w:pPr>
      <w:tabs>
        <w:tab w:val="clear" w:pos="708"/>
        <w:tab w:val="center" w:pos="4419" w:leader="none"/>
        <w:tab w:val="right" w:pos="8838" w:leader="none"/>
      </w:tabs>
    </w:pPr>
    <w:rPr>
      <w:rFonts w:ascii="Calibri" w:hAnsi="Calibri" w:eastAsia="Calibri" w:cs="" w:asciiTheme="minorHAnsi" w:cstheme="minorBidi" w:eastAsiaTheme="minorHAnsi" w:hAnsiTheme="minorHAnsi"/>
      <w:sz w:val="22"/>
      <w:szCs w:val="22"/>
      <w:lang w:val="es-CO" w:eastAsia="en-US"/>
    </w:rPr>
  </w:style>
  <w:style w:type="paragraph" w:styleId="Piedepgina">
    <w:name w:val="Footer"/>
    <w:basedOn w:val="Normal"/>
    <w:link w:val="PiedepginaCar"/>
    <w:uiPriority w:val="99"/>
    <w:unhideWhenUsed/>
    <w:rsid w:val="0032009b"/>
    <w:pPr>
      <w:tabs>
        <w:tab w:val="clear" w:pos="708"/>
        <w:tab w:val="center" w:pos="4419" w:leader="none"/>
        <w:tab w:val="right" w:pos="8838" w:leader="none"/>
      </w:tabs>
    </w:pPr>
    <w:rPr>
      <w:rFonts w:ascii="Calibri" w:hAnsi="Calibri" w:eastAsia="Calibri" w:cs="" w:asciiTheme="minorHAnsi" w:cstheme="minorBidi" w:eastAsiaTheme="minorHAnsi" w:hAnsiTheme="minorHAnsi"/>
      <w:sz w:val="22"/>
      <w:szCs w:val="22"/>
      <w:lang w:val="es-CO" w:eastAsia="en-US"/>
    </w:rPr>
  </w:style>
  <w:style w:type="paragraph" w:styleId="NoSpacing">
    <w:name w:val="No Spacing"/>
    <w:link w:val="SinespaciadoCar"/>
    <w:uiPriority w:val="1"/>
    <w:qFormat/>
    <w:rsid w:val="0032009b"/>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BalloonText">
    <w:name w:val="Balloon Text"/>
    <w:basedOn w:val="Normal"/>
    <w:link w:val="TextodegloboCar"/>
    <w:uiPriority w:val="99"/>
    <w:semiHidden/>
    <w:unhideWhenUsed/>
    <w:qFormat/>
    <w:rsid w:val="00d924f4"/>
    <w:pPr/>
    <w:rPr>
      <w:rFonts w:ascii="Segoe UI" w:hAnsi="Segoe UI" w:cs="Segoe UI"/>
      <w:sz w:val="18"/>
      <w:szCs w:val="1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32009b"/>
    <w:pPr>
      <w:spacing w:after="0" w:line="240" w:lineRule="auto"/>
    </w:pPr>
    <w:rPr>
      <w:lang w:eastAsia="es-CO"/>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E0CC2-1600-47D9-A6D1-5366A0BD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Application>LibreOffice/7.3.7.2$Linux_X86_64 LibreOffice_project/30$Build-2</Application>
  <AppVersion>15.0000</AppVersion>
  <Pages>2</Pages>
  <Words>591</Words>
  <Characters>3531</Characters>
  <CharactersWithSpaces>4427</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2023-02-28T23:00:00Z</dcterms:created>
  <dc:creator>LAVERDE</dc:creator>
  <dc:description/>
  <dc:language>es-CO</dc:language>
  <cp:lastModifiedBy/>
  <dcterms:modified xsi:type="dcterms:W3CDTF">2024-07-09T10:48:25Z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