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${expediente_coactivo}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DE INDUSTRIA Y COMERCIO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Me permito comunicarle que mediante auto No. ${auto_embargo} de fecha ${fecha_embargo} dentro del proceso de la referencia, este despacho ordenó el embargo del vehículo de propiedad del deudor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nombreRazonSocial</w:t>
      </w:r>
      <w:r>
        <w:rPr>
          <w:rFonts w:eastAsia="Arial Narrow" w:cs="Arial Narrow" w:ascii="Arial Narrow" w:hAnsi="Arial Narrow"/>
          <w:sz w:val="20"/>
          <w:szCs w:val="20"/>
        </w:rPr>
        <w:t>} con Identificación con CC o NIT.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eastAsia="Arial Narrow" w:cs="Arial Narrow" w:ascii="Arial Narrow" w:hAnsi="Arial Narrow"/>
          <w:sz w:val="20"/>
          <w:szCs w:val="20"/>
        </w:rPr>
        <w:t xml:space="preserve">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${placa}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${marca_vehiculo}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${clase_vehiculo}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${modelo_vehiculo}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${cilindraje_vehiculo</w:t>
            </w:r>
            <w:r>
              <w:rPr>
                <w:rFonts w:eastAsia="Arial Narrow" w:cs="Arial Narrow" w:ascii="Arial Narrow" w:hAnsi="Arial Narrow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}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${oficina_registro}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>Revisión jurídica:  ${elaborodocumento}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Next LT Pro Regular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90905" cy="585470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40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1</Pages>
  <Words>283</Words>
  <Characters>1818</Characters>
  <CharactersWithSpaces>2305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2024-07-09T10:09:28Z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