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pPr w:vertAnchor="text" w:horzAnchor="margin" w:tblpXSpec="right" w:leftFromText="141" w:rightFromText="141" w:tblpY="14"/>
        <w:tblW w:w="2633" w:type="dxa"/>
        <w:jc w:val="right"/>
        <w:tblInd w:w="0" w:type="dxa"/>
        <w:tblLayout w:type="fixed"/>
        <w:tblCellMar>
          <w:top w:w="0" w:type="dxa"/>
          <w:left w:w="108" w:type="dxa"/>
          <w:bottom w:w="0" w:type="dxa"/>
          <w:right w:w="108" w:type="dxa"/>
        </w:tblCellMar>
        <w:tblLook w:val="04a0" w:noHBand="0" w:noVBand="1" w:firstColumn="1" w:lastRow="0" w:lastColumn="0" w:firstRow="1"/>
      </w:tblPr>
      <w:tblGrid>
        <w:gridCol w:w="992"/>
        <w:gridCol w:w="1640"/>
      </w:tblGrid>
      <w:tr>
        <w:trPr/>
        <w:tc>
          <w:tcPr>
            <w:tcW w:w="992" w:type="dxa"/>
            <w:tcBorders>
              <w:top w:val="nil"/>
              <w:left w:val="nil"/>
              <w:bottom w:val="nil"/>
              <w:right w:val="nil"/>
            </w:tcBorders>
            <w:vAlign w:val="center"/>
          </w:tcPr>
          <w:p>
            <w:pPr>
              <w:pStyle w:val="Normal"/>
              <w:widowControl w:val="false"/>
              <w:spacing w:lineRule="auto" w:line="240" w:before="0" w:after="0"/>
              <w:jc w:val="right"/>
              <w:rPr>
                <w:rFonts w:ascii="Arial" w:hAnsi="Arial" w:cs="Arial"/>
                <w:sz w:val="20"/>
                <w:szCs w:val="20"/>
              </w:rPr>
            </w:pPr>
            <w:r>
              <w:rPr>
                <w:rFonts w:eastAsia="Calibri" w:cs="Arial" w:ascii="Arial" w:hAnsi="Arial"/>
                <w:kern w:val="0"/>
                <w:sz w:val="20"/>
                <w:szCs w:val="20"/>
                <w:lang w:val="es-CO" w:bidi="ar-SA"/>
              </w:rPr>
              <w:t>FECHA</w:t>
            </w:r>
          </w:p>
        </w:tc>
        <w:tc>
          <w:tcPr>
            <w:tcW w:w="1640" w:type="dxa"/>
            <w:tcBorders>
              <w:top w:val="nil"/>
              <w:left w:val="nil"/>
              <w:right w:val="nil"/>
            </w:tcBorders>
            <w:vAlign w:val="center"/>
          </w:tcPr>
          <w:p>
            <w:pPr>
              <w:pStyle w:val="Normal"/>
              <w:widowControl w:val="false"/>
              <w:spacing w:lineRule="auto" w:line="240" w:before="0" w:after="0"/>
              <w:ind w:right="-135" w:hanging="0"/>
              <w:jc w:val="left"/>
              <w:rPr>
                <w:sz w:val="16"/>
                <w:szCs w:val="16"/>
              </w:rPr>
            </w:pPr>
            <w:r>
              <w:rPr>
                <w:rFonts w:cs="Arial" w:ascii="Arial" w:hAnsi="Arial"/>
                <w:sz w:val="16"/>
                <w:szCs w:val="16"/>
              </w:rPr>
              <w:t>${fechaexpedientedn} de ${fechaexpedientemc} de ${fechaexpedientean}</w:t>
            </w:r>
          </w:p>
        </w:tc>
      </w:tr>
    </w:tbl>
    <w:p>
      <w:pPr>
        <w:pStyle w:val="Normal"/>
        <w:spacing w:lineRule="auto" w:line="240" w:before="0" w:after="0"/>
        <w:ind w:left="2832" w:hanging="0"/>
        <w:jc w:val="left"/>
        <w:rPr>
          <w:rFonts w:ascii="Arial" w:hAnsi="Arial" w:cs="Arial"/>
          <w:b/>
          <w:b/>
          <w:sz w:val="20"/>
          <w:szCs w:val="20"/>
        </w:rPr>
      </w:pPr>
      <w:r/>
      <w:r>
        <w:rPr>
          <w:rFonts w:cs="Arial" w:ascii="Arial" w:hAnsi="Arial"/>
          <w:b/>
          <w:sz w:val="20"/>
          <w:szCs w:val="20"/>
        </w:rPr>
        <w:t>No. ${numeroexpediente}</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 xml:space="preserve">POR MEDIO DEL CUAL </w:t>
      </w:r>
      <w:bookmarkStart w:id="0" w:name="_GoBack"/>
      <w:bookmarkEnd w:id="0"/>
      <w:r>
        <w:rPr>
          <w:rFonts w:cs="Arial" w:ascii="Arial" w:hAnsi="Arial"/>
          <w:b/>
          <w:sz w:val="20"/>
          <w:szCs w:val="20"/>
        </w:rPr>
        <w:t xml:space="preserve">SE APERTURA </w:t>
      </w:r>
    </w:p>
    <w:p>
      <w:pPr>
        <w:pStyle w:val="Normal"/>
        <w:spacing w:lineRule="auto" w:line="240" w:before="0" w:after="0"/>
        <w:jc w:val="center"/>
        <w:rPr>
          <w:rFonts w:ascii="Arial" w:hAnsi="Arial" w:cs="Arial"/>
          <w:b/>
          <w:b/>
          <w:sz w:val="20"/>
          <w:szCs w:val="20"/>
        </w:rPr>
      </w:pPr>
      <w:r>
        <w:rPr>
          <w:rFonts w:cs="Arial" w:ascii="Arial" w:hAnsi="Arial"/>
          <w:b/>
          <w:sz w:val="20"/>
          <w:szCs w:val="20"/>
        </w:rPr>
        <w:t xml:space="preserve">UN EXPEDIENTE POR IMPUESTO PREDIAL UNIFICADO   </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30"/>
        <w:gridCol w:w="7281"/>
      </w:tblGrid>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EXPEDIENTE</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${numeroexpediente}</w:t>
            </w:r>
          </w:p>
        </w:tc>
      </w:tr>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CONTRIBUYENTE</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${contribuyenteexpediente}</w:t>
            </w:r>
          </w:p>
        </w:tc>
      </w:tr>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CC o NIT</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${idcontribuyenteexpediente}</w:t>
            </w:r>
          </w:p>
        </w:tc>
      </w:tr>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IMPUESTO</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IMPUESTO PREDIAL UNIFICADO</w:t>
            </w:r>
          </w:p>
        </w:tc>
      </w:tr>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PERIODO</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${periodoexpediente}</w:t>
            </w:r>
          </w:p>
        </w:tc>
      </w:tr>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 xml:space="preserve">CODIGO CATASTRAL  </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${referencia_catastral}</w:t>
            </w:r>
          </w:p>
        </w:tc>
      </w:tr>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DIRECCION PREDIO</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${direccionexpedientefiscalizacion}</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Secretaría de Hacienda del Municipio de Aguazul Casanare, en uso de las atribuciones conferidas por los artículos 5, 19, 32, 330 y 352 del Acuerdo Municipal No 020 del 2016, así como las normas que lo modifiquen o adicionen, y</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CONSIDERANDO</w:t>
      </w:r>
    </w:p>
    <w:p>
      <w:pPr>
        <w:pStyle w:val="Normal"/>
        <w:spacing w:lineRule="auto" w:line="240" w:before="0" w:after="0"/>
        <w:jc w:val="center"/>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Que el artículo 19 del Acuerdo Municipal 020 de 2016, señala que el municipio de Aguazul a través de la Secretaria de Hacienda es el sujeto activo del impuesto predial unificado que se cause en su jurisdicción, y en él radican las potestades tributarias de administración, control, fiscalización, liquidación, discusión, recaudo, devolución y cobro.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Que de conformidad con el artículo 20 del Acuerdo Municipal 020 de 2016, es sujeto pasivo del impuesto predial unificado la persona natural o jurídica que sea propietaria o poseedora, así como el usufructuario de predios ubicados en la jurisdicción del municipio de Aguazul.  Sin embargo, dado el carácter real del impuesto predial, podrá hacerse efectivo con el respectivo predio independientemente de quien sea su propietario, de tal suerte que el respectivo municipio podrá perseguir el inmueble sea quien fuere el que lo posea, y a cualquier título que lo haya adquirido.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Que revisado el folio de matrícula inmobiliaria ${matricula_inmobiliaria}, a través de consulta de fecha </w:t>
      </w:r>
      <w:r>
        <w:rPr>
          <w:rFonts w:cs="Arial" w:ascii="Arial" w:hAnsi="Arial"/>
          <w:sz w:val="20"/>
          <w:szCs w:val="20"/>
          <w:shd w:fill="FFFF00" w:val="clear"/>
        </w:rPr>
        <w:t>${fecha}</w:t>
      </w:r>
      <w:r>
        <w:rPr>
          <w:rFonts w:cs="Arial" w:ascii="Arial" w:hAnsi="Arial"/>
          <w:sz w:val="20"/>
          <w:szCs w:val="20"/>
        </w:rPr>
        <w:t xml:space="preserve"> en la Ventanilla Única de Registro – VUR,  en el cual se encuentra registrado el predio con el código catastral No. ${referencia_catastral} con dirección en la ${direccionexpedientefiscalizacion}, se determinó que  ${contribuyenteexpediente} identificado(a)s con cedula de ciudadanía o NIT. ${idcontribuyenteexpediente}, es(son) sujeto(s) pasivo(s) del impuesto predial en calidad de propietario del predio antes referido.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Que de acuerdo </w:t>
      </w:r>
      <w:r>
        <w:rPr>
          <w:rFonts w:cs="Arial" w:ascii="Arial" w:hAnsi="Arial"/>
          <w:sz w:val="20"/>
          <w:szCs w:val="20"/>
          <w:shd w:fill="FFFF00" w:val="clear"/>
        </w:rPr>
        <w:t>con la factura No. XXXXX de fecha XXXX</w:t>
      </w:r>
      <w:r>
        <w:rPr>
          <w:rFonts w:cs="Arial" w:ascii="Arial" w:hAnsi="Arial"/>
          <w:sz w:val="20"/>
          <w:szCs w:val="20"/>
        </w:rPr>
        <w:t xml:space="preserve"> generado del módulo SISOFT-PREDIAL, el predio descrito en el considerando anterior no registra pago alguno por concepto del impuesto predial unificado por los años ${vigenciaexpediente} respectivamente.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Que el artículo 32 del Acuerdo Municipal 020 de 2016, señala que el Impuesto Predial Unificado se liquidará oficialmente por parte de la Secretaría de Hacienda Municipal; adicionalmente, el artículo 354 de la ley 1819 de 2016, faculta a los municipios para la liquidación del impuesto predial por el sistema de facturación que constituyan la determinación oficial del tributo y presten mérito ejecutivo.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Por lo anteriormente expuesto,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DISPONE</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PRIMERO: APERTURAR</w:t>
      </w:r>
      <w:r>
        <w:rPr>
          <w:rFonts w:cs="Arial" w:ascii="Arial" w:hAnsi="Arial"/>
          <w:sz w:val="20"/>
          <w:szCs w:val="20"/>
        </w:rPr>
        <w:t xml:space="preserve"> expediente No. ${numeroexpediente}, por el incumplimiento en el pago del impuesto predial unificado causado en el año ${vigenciaexpediente}, del predio identificado con el código catastral No. ${referencia_catastral} ubicado en la ${direccionexpedientefiscalizacion}.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SEGUNDO: INCORPORAR</w:t>
      </w:r>
      <w:r>
        <w:rPr>
          <w:rFonts w:cs="Arial" w:ascii="Arial" w:hAnsi="Arial"/>
          <w:sz w:val="20"/>
          <w:szCs w:val="20"/>
        </w:rPr>
        <w:t xml:space="preserve"> al expediente las actuaciones y documentos que soportan la obligación y demuestran los sujetos pasivos responsables del pago del Impuesto Predial Unificado.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TERCERO: DETERMINAR</w:t>
      </w:r>
      <w:r>
        <w:rPr>
          <w:rFonts w:cs="Arial" w:ascii="Arial" w:hAnsi="Arial"/>
          <w:sz w:val="20"/>
          <w:szCs w:val="20"/>
        </w:rPr>
        <w:t xml:space="preserve"> oficialmente el impuesto predial unificado del inmueble descrito en el artículo primero mediante el sistema de facturación, a cargo de ${contribuyenteexpediente} identificado(a)s con C.C. o NIT ${idcontribuyenteexpediente}, por los años gravables ${vigenciaexpediente}.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CUARTO: NOTIFIFICAR</w:t>
      </w:r>
      <w:r>
        <w:rPr>
          <w:rFonts w:cs="Arial" w:ascii="Arial" w:hAnsi="Arial"/>
          <w:sz w:val="20"/>
          <w:szCs w:val="20"/>
        </w:rPr>
        <w:t xml:space="preserve"> la factura de determinación oficial mediante la inserción en la página web de la alcaldía municipal  y simultáneamente la publicación en medios físicos en la cartelera o lugar visible de la entidad territorial, de conformidad con lo señalado en el artículo 354 de la ley 1819 de 2016.</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QUINTO:</w:t>
      </w:r>
      <w:r>
        <w:rPr>
          <w:rFonts w:cs="Arial" w:ascii="Arial" w:hAnsi="Arial"/>
          <w:sz w:val="20"/>
          <w:szCs w:val="20"/>
        </w:rPr>
        <w:t xml:space="preserve"> Practíquense las diligencias y pruebas pertinentes a que haya lugar.</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SEXTO:</w:t>
      </w:r>
      <w:r>
        <w:rPr>
          <w:rFonts w:cs="Arial" w:ascii="Arial" w:hAnsi="Arial"/>
          <w:sz w:val="20"/>
          <w:szCs w:val="20"/>
        </w:rPr>
        <w:t xml:space="preserve"> Por tratarse de una actuación interna contra el presente no procede recurso y no amerita notificación.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CUMPLASE</w:t>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14"/>
          <w:szCs w:val="14"/>
        </w:rPr>
      </w:pPr>
      <w:r>
        <w:rPr>
          <w:rFonts w:cs="Arial" w:ascii="Arial" w:hAnsi="Arial"/>
          <w:sz w:val="14"/>
          <w:szCs w:val="14"/>
        </w:rPr>
        <w:t xml:space="preserve">Revisó y Aprobó: Nury Esmeralda Rodríguez </w:t>
        <w:tab/>
        <w:tab/>
        <w:tab/>
        <w:tab/>
        <w:t xml:space="preserve">Revisión jurídica: Fredy Echeverría Chacón </w:t>
      </w:r>
    </w:p>
    <w:p>
      <w:pPr>
        <w:pStyle w:val="Normal"/>
        <w:spacing w:lineRule="auto" w:line="240" w:before="0" w:after="0"/>
        <w:rPr>
          <w:rFonts w:ascii="Arial" w:hAnsi="Arial" w:cs="Arial"/>
          <w:sz w:val="14"/>
          <w:szCs w:val="14"/>
        </w:rPr>
      </w:pPr>
      <w:r>
        <w:rPr>
          <w:rFonts w:cs="Arial" w:ascii="Arial" w:hAnsi="Arial"/>
          <w:sz w:val="14"/>
          <w:szCs w:val="14"/>
        </w:rPr>
        <w:t xml:space="preserve">Profesional Universitario de Rentas </w:t>
        <w:tab/>
        <w:tab/>
        <w:tab/>
        <w:tab/>
        <w:tab/>
        <w:t xml:space="preserve">Profesional Contratado </w:t>
      </w:r>
    </w:p>
    <w:p>
      <w:pPr>
        <w:pStyle w:val="Normal"/>
        <w:spacing w:lineRule="auto" w:line="240" w:before="0" w:after="0"/>
        <w:rPr>
          <w:rFonts w:ascii="Arial" w:hAnsi="Arial" w:cs="Arial"/>
          <w:sz w:val="14"/>
          <w:szCs w:val="14"/>
        </w:rPr>
      </w:pPr>
      <w:r>
        <w:rPr>
          <w:rFonts w:cs="Arial" w:ascii="Arial" w:hAnsi="Arial"/>
          <w:sz w:val="14"/>
          <w:szCs w:val="14"/>
        </w:rPr>
      </w:r>
    </w:p>
    <w:p>
      <w:pPr>
        <w:pStyle w:val="Normal"/>
        <w:spacing w:lineRule="auto" w:line="240" w:before="0" w:after="0"/>
        <w:rPr>
          <w:rFonts w:ascii="Arial" w:hAnsi="Arial" w:cs="Arial"/>
          <w:sz w:val="14"/>
          <w:szCs w:val="14"/>
        </w:rPr>
      </w:pPr>
      <w:r>
        <w:rPr>
          <w:rFonts w:cs="Arial" w:ascii="Arial" w:hAnsi="Arial"/>
          <w:sz w:val="14"/>
          <w:szCs w:val="14"/>
        </w:rPr>
      </w:r>
    </w:p>
    <w:p>
      <w:pPr>
        <w:pStyle w:val="Normal"/>
        <w:spacing w:lineRule="auto" w:line="240" w:before="0" w:after="0"/>
        <w:rPr>
          <w:rFonts w:ascii="Arial" w:hAnsi="Arial" w:cs="Arial"/>
          <w:sz w:val="14"/>
          <w:szCs w:val="14"/>
        </w:rPr>
      </w:pPr>
      <w:r>
        <w:rPr>
          <w:rFonts w:cs="Arial" w:ascii="Arial" w:hAnsi="Arial"/>
          <w:sz w:val="14"/>
          <w:szCs w:val="14"/>
        </w:rPr>
        <w:t xml:space="preserve">            </w:t>
      </w:r>
    </w:p>
    <w:p>
      <w:pPr>
        <w:pStyle w:val="Normal"/>
        <w:spacing w:lineRule="auto" w:line="240" w:before="0" w:after="0"/>
        <w:rPr>
          <w:rFonts w:ascii="Arial" w:hAnsi="Arial" w:cs="Arial"/>
          <w:sz w:val="14"/>
          <w:szCs w:val="14"/>
        </w:rPr>
      </w:pPr>
      <w:r>
        <w:rPr>
          <w:rFonts w:cs="Arial" w:ascii="Arial" w:hAnsi="Arial"/>
          <w:sz w:val="14"/>
          <w:szCs w:val="14"/>
        </w:rPr>
        <w:t xml:space="preserve">Apoyo en la proyección: Fredy Echeverría Chacón </w:t>
      </w:r>
    </w:p>
    <w:p>
      <w:pPr>
        <w:pStyle w:val="Normal"/>
        <w:spacing w:lineRule="auto" w:line="240" w:before="0" w:after="0"/>
        <w:rPr>
          <w:rFonts w:ascii="Arial" w:hAnsi="Arial" w:cs="Arial"/>
          <w:sz w:val="14"/>
          <w:szCs w:val="14"/>
        </w:rPr>
      </w:pPr>
      <w:r>
        <w:rPr>
          <w:rFonts w:cs="Arial" w:ascii="Arial" w:hAnsi="Arial"/>
          <w:sz w:val="14"/>
          <w:szCs w:val="14"/>
        </w:rPr>
        <w:t xml:space="preserve">Técnico Contratado </w:t>
      </w:r>
    </w:p>
    <w:sectPr>
      <w:headerReference w:type="default" r:id="rId2"/>
      <w:footerReference w:type="default" r:id="rId3"/>
      <w:type w:val="nextPage"/>
      <w:pgSz w:w="12240" w:h="15840"/>
      <w:pgMar w:left="1440" w:right="1440" w:gutter="0" w:header="709" w:top="1758" w:footer="27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0" distT="0" distB="0" distL="114300" distR="114300" simplePos="0" locked="0" layoutInCell="1" allowOverlap="1" relativeHeight="5">
                <wp:simplePos x="0" y="0"/>
                <wp:positionH relativeFrom="column">
                  <wp:posOffset>-52705</wp:posOffset>
                </wp:positionH>
                <wp:positionV relativeFrom="paragraph">
                  <wp:posOffset>228600</wp:posOffset>
                </wp:positionV>
                <wp:extent cx="1126490" cy="291465"/>
                <wp:effectExtent l="0" t="0" r="0" b="0"/>
                <wp:wrapTopAndBottom/>
                <wp:docPr id="1" name="Imagen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210820</wp:posOffset>
                </wp:positionH>
                <wp:positionV relativeFrom="paragraph">
                  <wp:posOffset>11430</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PuestoCar" w:customStyle="1">
    <w:name w:val="Puest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c06446"/>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Puest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9C25-5E00-473A-B6F8-3BF6666E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Application>LibreOffice/7.3.7.2$Linux_X86_64 LibreOffice_project/30$Build-2</Application>
  <AppVersion>15.0000</AppVersion>
  <Pages>2</Pages>
  <Words>628</Words>
  <Characters>3891</Characters>
  <CharactersWithSpaces>4523</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2024-05-30T22:11:00Z</dcterms:created>
  <dc:creator>DENIS</dc:creator>
  <dc:description/>
  <dc:language>es-CO</dc:language>
  <cp:lastModifiedBy/>
  <cp:lastPrinted>2023-04-19T20:17:00Z</cp:lastPrinted>
  <dcterms:modified xsi:type="dcterms:W3CDTF">2024-06-28T15:26:00Z</dcterms:modified>
  <cp:revision>9</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