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Señores: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color w:val="000000"/>
        </w:rPr>
      </w:pPr>
      <w:r>
        <w:rPr>
          <w:rFonts w:eastAsia="Arial Narrow" w:cs="Arial Narrow" w:ascii="Arial Narrow" w:hAnsi="Arial Narrow"/>
          <w:b/>
          <w:color w:val="000000"/>
        </w:rPr>
        <w:t>BANCO DE BOGOTÁ, BANCOLOMBIA, DAVIVIENDA, BBVA, BANCO AGRARIO DE COLOMBIA, BANCO POPULAR, BANCO CAJA SOCIAL, BANCAMIA, BANCO DE OCCIDENTE, BANCO FALABELA, CITIBANK –COLOMBIA-EXPRESION CITIBANK, SCOTIABANK COLPATRIA S.A., BANCO AV VILLAS Y BANCO PICHINCHA S.A.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E.S.D.</w:t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jc w:val="center"/>
        <w:rPr/>
      </w:pPr>
      <w:r>
        <w:rPr/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DOCUMENTO OFICIO BANCOS IMPUESTO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8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7PqxLVggQB/9lfHodNqBADKPrw==">CgMxLjAyCGguZ2pkZ3hzOAByITFyWUJiWnhHTUZROW00YURqaFFrVk9XQ201M19faGNqWQ==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109</Words>
  <Characters>596</Characters>
  <CharactersWithSpaces>729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2024-01-09T22:15:00Z</dcterms:created>
  <dc:creator>DENIS</dc:creator>
  <dc:description/>
  <dc:language>es-CO</dc:language>
  <cp:lastModifiedBy/>
  <dcterms:modified xsi:type="dcterms:W3CDTF">2024-05-23T16:57:58Z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