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HEIDY JANETH PARRADO MONRROY Identificado (a) con Cedula N°40219814.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ESCUELA DE SAN ANTONIO VDA LAGUNAS.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$268.900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2007 - 2008 - 2009 - 2010 - 2012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000100090146000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HEIDY JANETH PARRADO MONRROY - 40219814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HEIDY JANETH PARRADO MONRROY Identificado (a) con Cedula N°40219814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ESCUELA DE SAN ANTONIO VDA LAGUNAS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000100090146000 ubicado en ESCUELA DE SAN ANTONIO VDA LAGUNAS.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2007 - 2008 - 2009 - 2010 - 2012.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$59.300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$147.300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$17.900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$44.400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$268.900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BBVA COLOMBIA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4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Ochenta Mil Seiscientos Setenta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$80.670)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Ochenta Mil Seiscientos Setenta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$80.670)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20183000006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23 de Octubre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Doscientos Sesenta y Ocho Mil Novecientos Pesos</w:t>
      </w:r>
      <w:r w:rsidR="00DA6243">
        <w:rPr>
          <w:rFonts w:ascii="Arial" w:hAnsi="Arial" w:cs="Arial"/>
          <w:b/>
          <w:sz w:val="22"/>
          <w:szCs w:val="22"/>
        </w:rPr>
        <w:t xml:space="preserve"> ($268.900)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Ciento Ochenta y Ocho Mil Doscientos Treinta Pesos</w:t>
      </w:r>
      <w:r w:rsidR="00590D64">
        <w:rPr>
          <w:rFonts w:ascii="Arial" w:hAnsi="Arial" w:cs="Arial"/>
          <w:b/>
          <w:sz w:val="22"/>
          <w:szCs w:val="22"/>
        </w:rPr>
        <w:t xml:space="preserve">  ($188.230)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Siete(07) días del mes de  Noviembre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HEIDY JANETH PARRADO MONRROY Identificado (a) con Cedula N°40219814.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