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9518682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ROQUE JAIRO SERRANO GIL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