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CORDOBA ANTONIO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