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52867306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MARCELA CIFUENTES VECINO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