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0000773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EMILIANO RINCON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