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4 30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GOMEZ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68304259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