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1119510217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TADEO FLOREZ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