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010000110026001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BARON MOENO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010000110026001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BARON MOENO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4153362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4 13 32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