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010113740006000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JUAN JOSE LOPEZ MALDONADO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$ 12.703.000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470-69553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27 10 44 MZ I CS 06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9654286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11.625.000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58.125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46.830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136.445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11.974.000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59.870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27.580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17.960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8.270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113.680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12.333.000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61.665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10.140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3.040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93.345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12.703.000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63.500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19.050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9.530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73.020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0200000003510119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$ 418.590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243.160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84.550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9.530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72.950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25.360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418.590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