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010000730001001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NANCY AMELIA RODRIGUEZ PINZON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$ 7.892.000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15 7 67 75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46370690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2021-05-26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7.222.000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7.439.000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7.662.000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7.892.000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2021000336360526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2021-05-26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$ 289.600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2021-05-31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163.200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65.350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14.200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289.600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010000730001001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7.892.000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$ 289.600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NANCY AMELIA RODRIGUEZ PINZON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46370690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15 7 67 75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