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000100080037000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JAIME NIETO AMAYA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30.356.000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SABANAL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4153165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133 Hectárea 125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19.969.000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84.900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387.300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68.500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227.900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327.800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20.868.000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88.700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71.700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238.150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21.703.000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92.200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233.950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93.900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376.500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16.600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221.550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332.050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428.400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128.600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278.500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397.700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258.500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409.300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23.191.000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116.000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371.200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111.400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241.300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392.100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104.300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226.050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381.250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93.200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201.900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357.100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23.887.000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119.400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274.600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82.400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178.500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333.700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24.604.000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197.800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29.800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113.800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227.000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25.342.000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101.400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15.200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101.600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218.200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26.102.000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104.400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146.000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84.000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204.100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26.186.000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170.200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186.700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107.350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303.050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26.972.000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202.300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40.500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33.100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99.200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342.000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27.781.000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208.400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41.700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319.000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28.614.000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214.600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64.800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42.950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38.900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296.450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29.472.000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221.000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10.600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44.250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6.400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271.650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30.356.000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243.000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46.000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276.000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2005,2006,2007,2008,2009,2010,2011,2012,2013,2014,2015,2016,2017,2018,2019,2020,2021,2022,2023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1251230237550223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$ 6.105.050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$ 2.926.450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2.629.600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4.759.000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13.000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562.000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1.093.900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6.105.050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000100080037000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30.356.000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$ 6.105.050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JAIME NIETO AMAYA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4153165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SABANAL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