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000100060080000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VIZCAYA ARGENTARIA C BANCO BILBAO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$ 13.334.000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RUBI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8600030201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658227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2019-02-21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2019-02-28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13.334.000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20.050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4.700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108.700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2019000285810221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2019-02-21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$ 108.700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2019-02-28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93.350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20.050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108.700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000100060080000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13.334.000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$ 108.700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VIZCAYA ARGENTARIA C BANCO BILBAO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8600030201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RUBI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