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OFELIA DEL PILAR LATRIGLIA AVILA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22.209.000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475-7881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PALESTINA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52268191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336 Hectárea 3124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216.300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193.150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170.800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74.350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72.550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1251230235430223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$ 2.813.700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$ 1.034.000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1.733.100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334.900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2.813.700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22.209.000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$ 2.813.700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OFELIA DEL PILAR LATRIGLIA AVILA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52268191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PALESTINA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