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19 MZ C LT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2022000357490316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19 MZ C LT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