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CRISTHIAN HUMBERTO SERRANO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$ 35.874.000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POTRILLOS Lo 1 VDA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1118650994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1206443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33.815.000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512.250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34.829.000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35.874.000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367.950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2021000340310806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$ 1.319.600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836.100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275.000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156.850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1.319.600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35.874.000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$ 1.319.600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CRISTHIAN HUMBERTO SERRANO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1118650994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POTRILLOS Lo 1 VDA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