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000100010064000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NEMESIO ANTONIO ARANGO LOMBANA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SACRIFICIO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17326984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$3.616.000,00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1251230247850323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09:52:08.756905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09:52:10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202303240000001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000100010064000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NEMESIO ANTONIO ARANGO LOMBANA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EL SACRIFICIO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17326984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$3.616.000,00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1251230247850323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Veinticuatro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$6.000,00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$24.000,00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09:52:08.756905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2023-03-24 09:52:10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