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39685570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JULIA RODRIGUEZ MARIA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 RODRIGUEZ MARIA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CAFETEROS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39685570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14:52:30.146542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14:52:35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39685570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JULIA RODRIGUEZ MARIA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 RODRIGUEZ MARIA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CAFETEROS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39685570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14:52:30.146542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14:52:35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