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000100080050000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PORFIA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40388949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ROCIO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$12.590.000,00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10:57:09.566143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10:57:11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