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1251230239960223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Once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000100040289000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PENA BLANCA VDA SAN LUIS DE ARICAP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7360329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ORLANDO MARTINEZ PULIDO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$1.748.000,00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$9.000,00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$3.000,00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$11.000,00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09:16:00.270886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09:16:01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