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LIR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USANA GUZMAN MORA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412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