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0100003009920721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PENSAMIENTO VDA EL ZAMUCO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7235112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AURELIANA BONNA PENA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