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202209160001266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060220220719144526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$14.107.000,00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Catorce Millones Ciento 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00001928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KR 12A 83 75 Of 303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900251823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LAS QUINCHAS RESOURCES CORP.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$14.107.000,00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$14.107.000,00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LAS QUINCHAS RESOURCES CORP.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900251823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