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202207190001087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2022-03-16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20220316152222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$4.673.000,00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Cuatro Millones Seiscientos Setenta y Tres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RECAUDO DECLARACION RETENCION 0502006418240322 VIGENCIA 2022 PERIODO  Enero - Febrero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00001732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CRA 19 6 100 EDIFICIO EMIRO SOSSA PACHECO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844004576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EMPRESA DE ENERGÍA DE CASANARE S.A. E.S.P.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$47.000,00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$3.784.000,00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$7.000,00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$568.000,00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$265.000,00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$4.673.000,00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EMPRESA DE ENERGÍA DE CASANARE S.A. E.S.P.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844004576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2022-07-19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