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202209160001253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20220517153144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$28.667.000,00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Veintiocho Millones Seiscientos Sesenta y Siete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Realizado el 17/05/2022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00001817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KR 12A 83 75 Of 303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900251823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LAS QUINCHAS RESOURCES CORP. SUCURSAL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$28.667.000,00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$28.667.000,00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LAS QUINCHAS RESOURCES CORP. SUCURSAL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900251823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