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202209200001272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060220220916102131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$245.000,00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Doscientos Cuarenta y 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00002050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4 16 40 BARRIO VILLA DEL SOL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900487314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OROCAM S.A.S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OROCAM S.A.S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900487314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2022-09-20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