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2018000145</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-08-24</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IVA-141516-2018-000002</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EBERTO ALFREDO VARGAS MARIÑO</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6775044</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CARRERA 23B No. 15A-24</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AGUAZUL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KCL107</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CHEVROLET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AVEO</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EBERTO ALFREDO VARGAS MARIÑO, Identificado con CC 6775044</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19.100.000,00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287.000,00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337.200,00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16.300.000,00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186.000,00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218.500,00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14.300.000,00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130.700,00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EBERTO ALFREDO VARGAS MARIÑO, Identificado con CC 6775044</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