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97396a28-52ba-4ae8-a6f1-7ab7c904690a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$254.280.000,00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$254.280.000,00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FUNDACION PARA EL DESARROLLO SOCIAL &amp;QUOT;FUNDES&amp;QUOT;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844004821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${9716_2}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$7.628.400,00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${9716_1}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$2.542.800,00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${9716_8}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$2.542.800,00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${9716_3}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$6.357.000,00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$19.071.000,00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$ 254.280.000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$ 254.280.000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$ 19.071.000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