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${fecha_liquidaciont}</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${numero_expediente},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No.${numero_liquidacion} de fecha ${fecha_liquidaciont}, ordenó seguir adelante con la ejecución, en contra del señor ${nombre_tercero} identificado con ${tipo_identificacion} No. ${nit_tercero}, por el no pago del impuesto sobre el vehículo automotor marca ${marca_vehiculo}, modelo ${modelo_vehiculo}, placa ${placa}, correspondiente a las vigencias fiscales ${vigencia_liquidacion}.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${numero_expediente}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${nombre_tercero}</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${nit_tercero}</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${t_vigencia}</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${t_avaluo}</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${t_impuesto}</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${t_descuento_matricula}</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${t_sancion}</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${t_interes}</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${t_total}</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${total_impuesto}</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${total_matricula}</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${total_sancion}</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${total_interes}</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${total_total}</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${total_t} (${total}).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${total_t} (${total}), la suma que por concepto del crédito debe pagar a favor del Departamento de Casanare, el contribuyente ${nombre_tercero} identificado con ${tipo_identificacion} No. ${nit_tercero}, valor que corresponde al impuesto, sanciones e intereses moratorios, causados hasta la fecha del presente auto, por el no pago del impuesto del vehículo de placa ${placa}, correspondiente a las vigencias ${vigencia_liquidacion}.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${numero_liquidacion}</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${verbo}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${numero_liquidacion}</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${verbo}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