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Yopal, ${fechafijadowebcodn}  de ${fechafijadowebcomc} de ${fechafijadowebcoan}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DIRECTOR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  <w:t xml:space="preserve">ÉCNIC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es-ES"/>
        </w:rPr>
        <w:t xml:space="preserve">A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  <w:t xml:space="preserve"> DE COBRO COACTIVO DEL DEPARTAMENTO DE CASANARE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  <w:t xml:space="preserve">En ejercicio de sus facultades legales, y especialmente las conferidas por el artículo 23 del Decreto No. 0323 del 01 de noviembre de 2019; el Decreto 0366 del 31 de octubre de 2025; la Ordenanza 027 del 27 de diciembre de 2023;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  <w:t xml:space="preserve"> y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 w:firstLine="0" w:left="142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 w:firstLine="0" w:left="142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CONSIDERANDO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 w:firstLine="0" w:left="142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Que en la Direcci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  <w:t xml:space="preserve">ón de Cobro Coactivo se adelanta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  <w:t xml:space="preserve">el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  <w:t xml:space="preserve">proceso No. ${numeroexpedientecobro}, en contra de ${nombre_tercero} identificado con ${tipo_identificacion} No. ${nit_tercero}, por el no pago de impuestos sobre vehiculos automotores.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  <w:t xml:space="preserve">Que este Desp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es-MX" w:eastAsia="es-MX" w:bidi="ar-SA"/>
        </w:rPr>
        <w:t xml:space="preserve">acho mediante Resolución No. 02146 de fecha 23 de octubre de 2023, ordenó seguir adelante con la ejecución, en contra del señor ${nombre_tercero} identificado con ${tipo_identificacion} No. ${nit_tercero}, por las sumas ordenadas en el mandamiento de pago.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color w:val="c9211e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Que este Direcci</w:t>
      </w:r>
      <w:r>
        <w:rPr>
          <w:rFonts w:ascii="Arial" w:hAnsi="Arial" w:eastAsia="Times New Roman" w:cs="Arial"/>
          <w:color w:val="000000"/>
          <w:sz w:val="20"/>
          <w:szCs w:val="20"/>
          <w:lang w:val="es-MX" w:eastAsia="es-MX" w:bidi="ar-SA"/>
        </w:rPr>
        <w:t xml:space="preserve">ón con base en la competencia que para el efecto le otorgó el Estatuto Tributatio Nacional y el Estatuto Tributatio del Dep</w:t>
      </w:r>
      <w:r>
        <w:rPr>
          <w:rFonts w:ascii="Arial" w:hAnsi="Arial" w:eastAsia="Times New Roman" w:cs="Arial"/>
          <w:color w:val="000000"/>
          <w:sz w:val="20"/>
          <w:szCs w:val="20"/>
          <w:lang w:val="es-MX" w:eastAsia="es-MX" w:bidi="ar-SA"/>
        </w:rPr>
        <w:t xml:space="preserve">artamento de Casanare y demás normas concordantes, ordenó el embargo y retención de los dinerons que se encuentren depositados o se llegaren a depositar, en las cuentas de ahorro, corrientes y demás títulos valores, a nombre del señor(a) ${nombre_tercero}.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es-MX" w:eastAsia="es-MX" w:bidi="ar-SA"/>
        </w:rPr>
        <w:t xml:space="preserve">Que de conformidad con lo expuesto, mediante auto No ${numero_liquidacion_coactivo} de fecha </w:t>
      </w:r>
      <w:r>
        <w:rPr>
          <w:rFonts w:ascii="Arial" w:hAnsi="Arial" w:eastAsia="Times New Roman" w:cs="Arial"/>
          <w:bCs/>
          <w:color w:val="000000" w:themeColor="text1"/>
          <w:sz w:val="20"/>
          <w:szCs w:val="20"/>
          <w:lang w:val="es-MX" w:eastAsia="es-MX" w:bidi="ar-SA"/>
        </w:rPr>
        <w:t xml:space="preserve">${fechaliquidacioncoactivodn} de ${fechaliquidacioncoactivomc} de ${fechaliquidacioncoactivoan}</w:t>
      </w:r>
      <w:r>
        <w:rPr>
          <w:rFonts w:ascii="Arial" w:hAnsi="Arial" w:eastAsia="Times New Roman" w:cs="Arial"/>
          <w:color w:val="000000"/>
          <w:sz w:val="20"/>
          <w:szCs w:val="20"/>
          <w:lang w:val="es-MX" w:eastAsia="es-MX" w:bidi="ar-SA"/>
        </w:rPr>
        <w:t xml:space="preserve">, se procedió a liquidar el crédito, y se ordenó correr traslado de la liquidación al deudor, por el té</w:t>
      </w:r>
      <w:r>
        <w:rPr>
          <w:rFonts w:ascii="Arial" w:hAnsi="Arial" w:eastAsia="Times New Roman" w:cs="Arial"/>
          <w:color w:val="000000"/>
          <w:sz w:val="20"/>
          <w:szCs w:val="20"/>
          <w:lang w:val="es-MX" w:eastAsia="es-MX" w:bidi="ar-SA"/>
        </w:rPr>
        <w:t xml:space="preserve">rmino de tres (3) días hábiles, para que el interesado formule las objeciones que considere pertinentes, para lo cual el expediente permanecerá a su disposición en este Despacho, (Parágrafo 2 del Art. 676 Estatuto Tributario del Departamento de Casanare). 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es-MX" w:eastAsia="es-MX" w:bidi="ar-SA"/>
        </w:rPr>
        <w:t xml:space="preserve">Que una vez establecida la dirección del contribuyente ${nombre_tercero}, </w:t>
      </w:r>
      <w:r>
        <w:rPr>
          <w:rFonts w:ascii="Arial" w:hAnsi="Arial" w:eastAsia="Times New Roman" w:cs="Arial"/>
          <w:bCs/>
          <w:color w:val="000000"/>
          <w:sz w:val="20"/>
          <w:szCs w:val="20"/>
          <w:lang w:val="es-MX" w:eastAsia="es-MX" w:bidi="ar-SA"/>
        </w:rPr>
        <w:t xml:space="preserve">se procedió enviar las notificaciones de los actos administrativos emitidos por el despacho, los </w:t>
      </w:r>
      <w:r>
        <w:rPr>
          <w:rFonts w:ascii="Arial" w:hAnsi="Arial" w:eastAsia="Times New Roman" w:cs="Arial"/>
          <w:bCs/>
          <w:color w:val="000000"/>
          <w:sz w:val="20"/>
          <w:szCs w:val="20"/>
          <w:lang w:val="es-MX" w:eastAsia="es-MX" w:bidi="ar-SA"/>
        </w:rPr>
        <w:t xml:space="preserve">cuales fueron devueltos por el correo certificado, motivo que impide la notificación y correr traslado del acto administrativo tal como lo establece el parágrafo 2 del artículo 608 del Estatuto de Rentas del Departamento de Casanare, Ordenanza 027 de 2023.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Times New Roman" w:cs="Arial"/>
          <w:bCs/>
          <w:color w:val="000000"/>
          <w:sz w:val="20"/>
          <w:szCs w:val="20"/>
          <w:lang w:val="es-MX" w:eastAsia="es-MX" w:bidi="ar-SA"/>
        </w:rPr>
        <w:t xml:space="preserve">Que en mérito de lo expuesto, el Despacho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</w:r>
      <w:r>
        <w:rPr>
          <w:rFonts w:ascii="Arial" w:hAnsi="Arial" w:cs="Arial"/>
          <w:bCs/>
          <w:color w:val="000000" w:themeColor="text1"/>
          <w:sz w:val="20"/>
          <w:szCs w:val="20"/>
        </w:rPr>
      </w:r>
      <w:r>
        <w:rPr>
          <w:rFonts w:ascii="Arial" w:hAnsi="Arial" w:cs="Arial"/>
          <w:bCs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center"/>
        <w:rPr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RESUELVE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</w:r>
      <w:r>
        <w:rPr>
          <w:rFonts w:ascii="Arial" w:hAnsi="Arial" w:cs="Arial"/>
          <w:bCs/>
          <w:color w:val="000000" w:themeColor="text1"/>
          <w:sz w:val="20"/>
          <w:szCs w:val="20"/>
        </w:rPr>
      </w:r>
      <w:r>
        <w:rPr>
          <w:rFonts w:ascii="Arial" w:hAnsi="Arial" w:cs="Arial"/>
          <w:bCs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ARTÍCULO 1: </w:t>
      </w:r>
      <w:r>
        <w:rPr>
          <w:rFonts w:ascii="Arial" w:hAnsi="Arial" w:eastAsia="Arial" w:cs="Arial"/>
          <w:bCs/>
          <w:color w:val="000000"/>
          <w:sz w:val="20"/>
          <w:szCs w:val="20"/>
          <w:lang w:val="es-MX" w:eastAsia="es-MX"/>
        </w:rPr>
        <w:t xml:space="preserve">Notificar el Auto por el cual se liquida el crédito </w:t>
      </w:r>
      <w:r>
        <w:rPr>
          <w:rFonts w:ascii="Arial" w:hAnsi="Arial" w:eastAsia="Arial" w:cs="Arial"/>
          <w:bCs/>
          <w:color w:val="000000"/>
          <w:sz w:val="20"/>
          <w:szCs w:val="20"/>
          <w:lang w:val="es-MX" w:eastAsia="es-MX"/>
        </w:rPr>
        <w:t xml:space="preserve">No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${numero_liquidacion_coactivo} de fecha ${fechaliquidacioncoactivodn} de ${fechaliquidacioncoactivomc} de ${fechaliquidacioncoactivoan}, en el portal Web de la Gobernación de Casanare, al señor(a) ${nombre_tercero} identificado con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${tipo_identificacion}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No. ${nit_tercero}, dentro del proceso de cobro coactivo No. ${numeroexpedientecobro}, tal como lo establece</w:t>
      </w:r>
      <w:r>
        <w:rPr>
          <w:rFonts w:ascii="Arial" w:hAnsi="Arial" w:eastAsia="Times New Roman" w:cs="Arial"/>
          <w:bCs/>
          <w:color w:val="000000" w:themeColor="text1"/>
          <w:sz w:val="20"/>
          <w:szCs w:val="20"/>
          <w:lang w:val="es-MX" w:eastAsia="es-MX" w:bidi="ar-SA"/>
        </w:rPr>
        <w:t xml:space="preserve"> el artículo 538 del Estatuto de Rentas del Departamento de Casanare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4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COMUNICASE Y CÚMPLASE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77"/>
        <w:pBdr/>
        <w:spacing/>
        <w:ind/>
        <w:jc w:val="center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sz w:val="20"/>
          <w:szCs w:val="20"/>
        </w:rPr>
      </w:r>
      <w:r>
        <w:rPr>
          <w:rFonts w:ascii="Arial" w:hAnsi="Arial" w:eastAsia="Arial" w:cs="Arial"/>
          <w:color w:val="000000"/>
          <w:sz w:val="20"/>
          <w:szCs w:val="20"/>
        </w:rPr>
        <w:t xml:space="preserve">DIANA YESENIA NOSSA FUENTES</w:t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Style w:val="1054"/>
        <w:pBdr/>
        <w:spacing/>
        <w:ind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Director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Técnic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 Cobro Coactivo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1054"/>
        <w:pBdr/>
        <w:spacing/>
        <w:ind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</w:r>
      <w:r>
        <w:rPr>
          <w:rFonts w:ascii="Arial" w:hAnsi="Arial" w:cs="Arial"/>
          <w:sz w:val="16"/>
          <w:szCs w:val="16"/>
          <w:lang w:val="es-ES"/>
        </w:rPr>
      </w:r>
      <w:r>
        <w:rPr>
          <w:rFonts w:ascii="Arial" w:hAnsi="Arial" w:cs="Arial"/>
          <w:sz w:val="16"/>
          <w:szCs w:val="16"/>
          <w:lang w:val="es-ES"/>
        </w:rPr>
      </w:r>
    </w:p>
    <w:p>
      <w:pPr>
        <w:pStyle w:val="1054"/>
        <w:pBdr/>
        <w:spacing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54"/>
        <w:pBdr/>
        <w:spacing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Revis</w:t>
      </w:r>
      <w:r>
        <w:rPr>
          <w:rFonts w:ascii="Arial" w:hAnsi="Arial" w:eastAsia="Times New Roman" w:cs="Arial"/>
          <w:color w:val="auto"/>
          <w:sz w:val="16"/>
          <w:szCs w:val="16"/>
          <w:lang w:val="es-MX" w:eastAsia="es-MX" w:bidi="ar-SA"/>
        </w:rPr>
        <w:t xml:space="preserve">ó</w:t>
      </w:r>
      <w:r>
        <w:rPr>
          <w:rFonts w:ascii="Arial" w:hAnsi="Arial" w:cs="Arial"/>
          <w:sz w:val="16"/>
          <w:szCs w:val="16"/>
        </w:rPr>
        <w:t xml:space="preserve">: ${nombre_creador}</w: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77"/>
        <w:pBdr/>
        <w:spacing/>
        <w:ind/>
        <w:jc w:val="both"/>
        <w:rPr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  <w:t xml:space="preserve">Profesional Universitario</w:t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134" w:right="1701" w:bottom="1134" w:left="1701" w:header="284" w:footer="284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ohit Devanagari">
    <w:panose1 w:val="05040102010807070707"/>
  </w:font>
  <w:font w:name="Tahoma">
    <w:panose1 w:val="020B0604030504040204"/>
  </w:font>
  <w:font w:name="Calibri Light">
    <w:panose1 w:val="020F0502020204030204"/>
  </w:font>
  <w:font w:name="Liberation Sans"/>
  <w:font w:name="Times New Roman">
    <w:panose1 w:val="02020603050405020304"/>
  </w:font>
  <w:font w:name="Noto Sans CJK SC">
    <w:panose1 w:val="05040102010807070707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Ind w:w="0" w:type="dxa"/>
      <w:tblW w:w="5000" w:type="pct"/>
      <w:tblCellMar>
        <w:left w:w="115" w:type="dxa"/>
        <w:top w:w="72" w:type="dxa"/>
        <w:right w:w="115" w:type="dxa"/>
        <w:bottom w:w="72" w:type="dxa"/>
      </w:tblCellMar>
      <w:tblBorders/>
      <w:tblLayout w:type="fixed"/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1071"/>
            <w:widowControl w:val="false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 8-02 Gobernación de Casanare Tel. 6336339 Ext. 1320 Yopal 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1071"/>
            <w:widowControl w:val="false"/>
            <w:pBdr/>
            <w:spacing/>
            <w:ind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8"/>
              <w:szCs w:val="18"/>
              <w:lang w:val="pt-BR"/>
            </w:rPr>
          </w:r>
          <w:r>
            <w:rPr>
              <w:rFonts w:ascii="Arial" w:hAnsi="Arial" w:cs="Arial"/>
              <w:i/>
              <w:sz w:val="18"/>
              <w:szCs w:val="18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1070"/>
            <w:widowControl w:val="false"/>
            <w:pBdr/>
            <w:spacing/>
            <w:ind/>
            <w:jc w:val="right"/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 xml:space="preserve">1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de </w:t>
          </w: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NUMPAGES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 xml:space="preserve">2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sz w:val="18"/>
              <w:szCs w:val="18"/>
            </w:rPr>
          </w:r>
          <w:r>
            <w:rPr>
              <w:rFonts w:ascii="Arial" w:hAnsi="Arial" w:cs="Arial"/>
              <w:i/>
              <w:sz w:val="18"/>
              <w:szCs w:val="18"/>
            </w:rPr>
          </w:r>
        </w:p>
      </w:tc>
    </w:tr>
  </w:tbl>
  <w:p>
    <w:pPr>
      <w:pStyle w:val="10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Ind w:w="0" w:type="dxa"/>
      <w:tblW w:w="8917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674"/>
      <w:gridCol w:w="7242"/>
    </w:tblGrid>
    <w:tr>
      <w:trPr>
        <w:trHeight w:val="492"/>
      </w:trPr>
      <w:tc>
        <w:tcPr>
          <w:tcBorders/>
          <w:tcW w:w="1674" w:type="dxa"/>
          <w:vAlign w:val="center"/>
          <w:textDirection w:val="lrTb"/>
          <w:noWrap w:val="false"/>
        </w:tcPr>
        <w:p>
          <w:pPr>
            <w:pStyle w:val="1070"/>
            <w:widowControl w:val="false"/>
            <w:pBdr/>
            <w:spacing/>
            <w:ind/>
            <w:rPr/>
          </w:pPr>
          <w:r>
            <w:rPr>
              <w:lang w:val="es-ES" w:eastAsia="es-ES"/>
            </w:rPr>
            <w:t xml:space="preserve">    </w:t>
          </w: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71525" cy="1066800"/>
                    <wp:effectExtent l="0" t="0" r="0" b="0"/>
                    <wp:docPr id="1" name="Imagen 2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n 2" descr="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71525" cy="1066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0.75pt;height:84.00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7242" w:type="dxa"/>
          <w:vAlign w:val="center"/>
          <w:vMerge w:val="restart"/>
          <w:textDirection w:val="lrTb"/>
          <w:noWrap w:val="false"/>
        </w:tcPr>
        <w:p>
          <w:pPr>
            <w:pStyle w:val="1070"/>
            <w:widowControl w:val="false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70"/>
            <w:widowControl w:val="false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AUTO GENERAL</w:t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  <w:p>
          <w:pPr>
            <w:pStyle w:val="1070"/>
            <w:widowControl w:val="false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FO-GF-38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70"/>
            <w:widowControl w:val="false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15-12-2020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70"/>
            <w:widowControl w:val="false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V. 01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54"/>
            <w:widowControl w:val="false"/>
            <w:pBdr/>
            <w:spacing/>
            <w:ind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54"/>
            <w:widowControl w:val="false"/>
            <w:pBdr/>
            <w:spacing/>
            <w:ind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70"/>
            <w:widowControl w:val="false"/>
            <w:pBdr/>
            <w:spacing/>
            <w:ind/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color w:val="000000" w:themeColor="text1"/>
            </w:rPr>
            <w:t xml:space="preserve">                         </w:t>
          </w:r>
          <w:r>
            <w:rPr>
              <w:rFonts w:ascii="Arial" w:hAnsi="Arial" w:cs="Arial"/>
              <w:color w:val="000000" w:themeColor="text1"/>
            </w:rPr>
            <w:t xml:space="preserve">AUTO No. ${numero_auto}</w:t>
          </w:r>
          <w:r>
            <w:rPr>
              <w:rFonts w:ascii="Arial" w:hAnsi="Arial" w:cs="Arial"/>
              <w:color w:val="000000" w:themeColor="text1"/>
            </w:rPr>
          </w:r>
          <w:r>
            <w:rPr>
              <w:rFonts w:ascii="Arial" w:hAnsi="Arial" w:cs="Arial"/>
              <w:color w:val="000000" w:themeColor="text1"/>
            </w:rPr>
          </w:r>
        </w:p>
      </w:tc>
    </w:tr>
    <w:tr>
      <w:trPr>
        <w:trHeight w:val="212"/>
      </w:trPr>
      <w:tc>
        <w:tcPr>
          <w:tcBorders/>
          <w:tcW w:w="1674" w:type="dxa"/>
          <w:vAlign w:val="center"/>
          <w:textDirection w:val="lrTb"/>
          <w:noWrap w:val="false"/>
        </w:tcPr>
        <w:p>
          <w:pPr>
            <w:pStyle w:val="1070"/>
            <w:widowControl w:val="false"/>
            <w:pBdr/>
            <w:spacing/>
            <w:ind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</w:tc>
      <w:tc>
        <w:tcPr>
          <w:tcBorders/>
          <w:tcW w:w="7242" w:type="dxa"/>
          <w:vAlign w:val="center"/>
          <w:vMerge w:val="continue"/>
          <w:textDirection w:val="lrTb"/>
          <w:noWrap w:val="false"/>
        </w:tcPr>
        <w:p>
          <w:pPr>
            <w:pStyle w:val="1070"/>
            <w:widowControl w:val="false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</w:tc>
    </w:tr>
  </w:tbl>
  <w:p>
    <w:pPr>
      <w:pStyle w:val="1070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1070"/>
      <w:pBdr/>
      <w:spacing/>
      <w:ind/>
      <w:jc w:val="center"/>
      <w:rPr>
        <w:rFonts w:ascii="Arial" w:hAnsi="Arial" w:eastAsia="Times New Roman" w:cs="Arial"/>
        <w:color w:val="auto"/>
        <w:sz w:val="22"/>
        <w:szCs w:val="20"/>
        <w:lang w:val="es-MX" w:eastAsia="es-MX" w:bidi="ar-SA"/>
      </w:rPr>
    </w:pPr>
    <w:r>
      <w:rPr>
        <w:rFonts w:ascii="Arial" w:hAnsi="Arial" w:eastAsia="Times New Roman" w:cs="Arial"/>
        <w:color w:val="auto"/>
        <w:sz w:val="22"/>
        <w:szCs w:val="20"/>
        <w:lang w:val="es-MX" w:eastAsia="es-MX" w:bidi="ar-SA"/>
      </w:rPr>
      <w:t xml:space="preserve">Por el cual se ordena publicación de acto administrativo en la página web.</w:t>
    </w:r>
    <w:r>
      <w:rPr>
        <w:rFonts w:ascii="Arial" w:hAnsi="Arial" w:eastAsia="Times New Roman" w:cs="Arial"/>
        <w:color w:val="auto"/>
        <w:sz w:val="22"/>
        <w:szCs w:val="20"/>
        <w:lang w:val="es-MX" w:eastAsia="es-MX" w:bidi="ar-SA"/>
      </w:rPr>
    </w:r>
    <w:r>
      <w:rPr>
        <w:rFonts w:ascii="Arial" w:hAnsi="Arial" w:eastAsia="Times New Roman" w:cs="Arial"/>
        <w:color w:val="auto"/>
        <w:sz w:val="22"/>
        <w:szCs w:val="20"/>
        <w:lang w:val="es-MX" w:eastAsia="es-MX" w:bidi="ar-SA"/>
      </w:rPr>
    </w:r>
  </w:p>
  <w:p>
    <w:pPr>
      <w:pStyle w:val="1070"/>
      <w:pBdr/>
      <w:spacing/>
      <w:ind/>
      <w:jc w:val="center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</w:r>
    <w:r>
      <w:rPr>
        <w:rFonts w:ascii="Arial" w:hAnsi="Arial" w:cs="Arial"/>
        <w:sz w:val="16"/>
        <w:szCs w:val="20"/>
      </w:rPr>
    </w:r>
  </w:p>
  <w:p>
    <w:pPr>
      <w:pStyle w:val="1070"/>
      <w:pBdr/>
      <w:spacing/>
      <w:ind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 xml:space="preserve">350.195.15</w:t>
    </w:r>
    <w:r>
      <w:rPr>
        <w:rFonts w:ascii="Arial" w:hAnsi="Arial" w:cs="Arial"/>
        <w:sz w:val="22"/>
        <w:szCs w:val="20"/>
      </w:rPr>
    </w:r>
    <w:r>
      <w:rPr>
        <w:rFonts w:ascii="Arial" w:hAnsi="Arial" w:cs="Arial"/>
        <w:sz w:val="22"/>
        <w:szCs w:val="20"/>
      </w:rPr>
    </w:r>
  </w:p>
  <w:p>
    <w:pPr>
      <w:pStyle w:val="1070"/>
      <w:pBdr/>
      <w:spacing/>
      <w:ind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</w:r>
    <w:r>
      <w:rPr>
        <w:rFonts w:ascii="Arial" w:hAnsi="Arial" w:cs="Arial"/>
        <w:sz w:val="22"/>
        <w:szCs w:val="20"/>
      </w:rPr>
    </w:r>
    <w:r>
      <w:rPr>
        <w:rFonts w:ascii="Arial" w:hAnsi="Arial" w:cs="Arial"/>
        <w:sz w:val="22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6">
    <w:name w:val="Table Grid Light"/>
    <w:basedOn w:val="10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basedOn w:val="10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basedOn w:val="10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basedOn w:val="10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basedOn w:val="10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2"/>
    <w:basedOn w:val="10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3"/>
    <w:basedOn w:val="10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4"/>
    <w:basedOn w:val="10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basedOn w:val="10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basedOn w:val="10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1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2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3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4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5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6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1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2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3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4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5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6"/>
    <w:basedOn w:val="10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1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2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3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4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5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6"/>
    <w:basedOn w:val="10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>
    <w:name w:val="Heading 1"/>
    <w:basedOn w:val="1054"/>
    <w:next w:val="1054"/>
    <w:link w:val="10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02">
    <w:name w:val="Heading 2"/>
    <w:basedOn w:val="1054"/>
    <w:next w:val="1054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3">
    <w:name w:val="Heading 3"/>
    <w:basedOn w:val="1054"/>
    <w:next w:val="1054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4">
    <w:name w:val="Heading 4"/>
    <w:basedOn w:val="1054"/>
    <w:next w:val="1054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5">
    <w:name w:val="Heading 5"/>
    <w:basedOn w:val="1054"/>
    <w:next w:val="1054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6">
    <w:name w:val="Heading 6"/>
    <w:basedOn w:val="1054"/>
    <w:next w:val="1054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7">
    <w:name w:val="Heading 7"/>
    <w:basedOn w:val="1054"/>
    <w:next w:val="1054"/>
    <w:link w:val="10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8">
    <w:name w:val="Heading 8"/>
    <w:basedOn w:val="1054"/>
    <w:next w:val="1054"/>
    <w:link w:val="10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9">
    <w:name w:val="Heading 9"/>
    <w:basedOn w:val="1054"/>
    <w:next w:val="1054"/>
    <w:link w:val="10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10">
    <w:name w:val="Heading 1 Char"/>
    <w:basedOn w:val="1055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1">
    <w:name w:val="Heading 2 Char"/>
    <w:basedOn w:val="1055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2">
    <w:name w:val="Heading 3 Char"/>
    <w:basedOn w:val="1055"/>
    <w:link w:val="10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3">
    <w:name w:val="Heading 4 Char"/>
    <w:basedOn w:val="1055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4">
    <w:name w:val="Heading 5 Char"/>
    <w:basedOn w:val="1055"/>
    <w:link w:val="10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5">
    <w:name w:val="Heading 6 Char"/>
    <w:basedOn w:val="1055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6">
    <w:name w:val="Heading 7 Char"/>
    <w:basedOn w:val="1055"/>
    <w:link w:val="10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7">
    <w:name w:val="Heading 8 Char"/>
    <w:basedOn w:val="1055"/>
    <w:link w:val="10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>
    <w:name w:val="Heading 9 Char"/>
    <w:basedOn w:val="1055"/>
    <w:link w:val="10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9">
    <w:name w:val="Title Char"/>
    <w:basedOn w:val="1055"/>
    <w:link w:val="10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0">
    <w:name w:val="Subtitle"/>
    <w:basedOn w:val="1054"/>
    <w:next w:val="1054"/>
    <w:link w:val="10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1">
    <w:name w:val="Subtitle Char"/>
    <w:basedOn w:val="1055"/>
    <w:link w:val="10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2">
    <w:name w:val="Quote"/>
    <w:basedOn w:val="1054"/>
    <w:next w:val="1054"/>
    <w:link w:val="10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3">
    <w:name w:val="Quote Char"/>
    <w:basedOn w:val="1055"/>
    <w:link w:val="10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4">
    <w:name w:val="Intense Emphasis"/>
    <w:basedOn w:val="10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5">
    <w:name w:val="Intense Quote"/>
    <w:basedOn w:val="1054"/>
    <w:next w:val="1054"/>
    <w:link w:val="10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6">
    <w:name w:val="Intense Quote Char"/>
    <w:basedOn w:val="1055"/>
    <w:link w:val="10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7">
    <w:name w:val="Intense Reference"/>
    <w:basedOn w:val="10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28">
    <w:name w:val="Subtle Emphasis"/>
    <w:basedOn w:val="10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9">
    <w:name w:val="Emphasis"/>
    <w:basedOn w:val="1055"/>
    <w:uiPriority w:val="20"/>
    <w:qFormat/>
    <w:pPr>
      <w:pBdr/>
      <w:spacing/>
      <w:ind/>
    </w:pPr>
    <w:rPr>
      <w:i/>
      <w:iCs/>
    </w:rPr>
  </w:style>
  <w:style w:type="character" w:styleId="1030">
    <w:name w:val="Strong"/>
    <w:basedOn w:val="1055"/>
    <w:uiPriority w:val="22"/>
    <w:qFormat/>
    <w:pPr>
      <w:pBdr/>
      <w:spacing/>
      <w:ind/>
    </w:pPr>
    <w:rPr>
      <w:b/>
      <w:bCs/>
    </w:rPr>
  </w:style>
  <w:style w:type="character" w:styleId="1031">
    <w:name w:val="Subtle Reference"/>
    <w:basedOn w:val="10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2">
    <w:name w:val="Book Title"/>
    <w:basedOn w:val="10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3">
    <w:name w:val="Header Char"/>
    <w:basedOn w:val="1055"/>
    <w:link w:val="1070"/>
    <w:uiPriority w:val="99"/>
    <w:pPr>
      <w:pBdr/>
      <w:spacing/>
      <w:ind/>
    </w:pPr>
  </w:style>
  <w:style w:type="character" w:styleId="1034">
    <w:name w:val="Footer Char"/>
    <w:basedOn w:val="1055"/>
    <w:link w:val="1071"/>
    <w:uiPriority w:val="99"/>
    <w:pPr>
      <w:pBdr/>
      <w:spacing/>
      <w:ind/>
    </w:pPr>
  </w:style>
  <w:style w:type="paragraph" w:styleId="1035">
    <w:name w:val="footnote text"/>
    <w:basedOn w:val="1054"/>
    <w:link w:val="10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6">
    <w:name w:val="Footnote Text Char"/>
    <w:basedOn w:val="1055"/>
    <w:link w:val="1035"/>
    <w:uiPriority w:val="99"/>
    <w:semiHidden/>
    <w:pPr>
      <w:pBdr/>
      <w:spacing/>
      <w:ind/>
    </w:pPr>
    <w:rPr>
      <w:sz w:val="20"/>
      <w:szCs w:val="20"/>
    </w:rPr>
  </w:style>
  <w:style w:type="character" w:styleId="1037">
    <w:name w:val="footnote reference"/>
    <w:basedOn w:val="1055"/>
    <w:uiPriority w:val="99"/>
    <w:semiHidden/>
    <w:unhideWhenUsed/>
    <w:pPr>
      <w:pBdr/>
      <w:spacing/>
      <w:ind/>
    </w:pPr>
    <w:rPr>
      <w:vertAlign w:val="superscript"/>
    </w:rPr>
  </w:style>
  <w:style w:type="paragraph" w:styleId="1038">
    <w:name w:val="endnote text"/>
    <w:basedOn w:val="1054"/>
    <w:link w:val="10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9">
    <w:name w:val="Endnote Text Char"/>
    <w:basedOn w:val="1055"/>
    <w:link w:val="1038"/>
    <w:uiPriority w:val="99"/>
    <w:semiHidden/>
    <w:pPr>
      <w:pBdr/>
      <w:spacing/>
      <w:ind/>
    </w:pPr>
    <w:rPr>
      <w:sz w:val="20"/>
      <w:szCs w:val="20"/>
    </w:rPr>
  </w:style>
  <w:style w:type="character" w:styleId="1040">
    <w:name w:val="endnote reference"/>
    <w:basedOn w:val="1055"/>
    <w:uiPriority w:val="99"/>
    <w:semiHidden/>
    <w:unhideWhenUsed/>
    <w:pPr>
      <w:pBdr/>
      <w:spacing/>
      <w:ind/>
    </w:pPr>
    <w:rPr>
      <w:vertAlign w:val="superscript"/>
    </w:rPr>
  </w:style>
  <w:style w:type="character" w:styleId="1041">
    <w:name w:val="FollowedHyperlink"/>
    <w:basedOn w:val="10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2">
    <w:name w:val="toc 1"/>
    <w:basedOn w:val="1054"/>
    <w:next w:val="1054"/>
    <w:uiPriority w:val="39"/>
    <w:unhideWhenUsed/>
    <w:pPr>
      <w:pBdr/>
      <w:spacing w:after="100"/>
      <w:ind/>
    </w:pPr>
  </w:style>
  <w:style w:type="paragraph" w:styleId="1043">
    <w:name w:val="toc 2"/>
    <w:basedOn w:val="1054"/>
    <w:next w:val="1054"/>
    <w:uiPriority w:val="39"/>
    <w:unhideWhenUsed/>
    <w:pPr>
      <w:pBdr/>
      <w:spacing w:after="100"/>
      <w:ind w:left="220"/>
    </w:pPr>
  </w:style>
  <w:style w:type="paragraph" w:styleId="1044">
    <w:name w:val="toc 3"/>
    <w:basedOn w:val="1054"/>
    <w:next w:val="1054"/>
    <w:uiPriority w:val="39"/>
    <w:unhideWhenUsed/>
    <w:pPr>
      <w:pBdr/>
      <w:spacing w:after="100"/>
      <w:ind w:left="440"/>
    </w:pPr>
  </w:style>
  <w:style w:type="paragraph" w:styleId="1045">
    <w:name w:val="toc 4"/>
    <w:basedOn w:val="1054"/>
    <w:next w:val="1054"/>
    <w:uiPriority w:val="39"/>
    <w:unhideWhenUsed/>
    <w:pPr>
      <w:pBdr/>
      <w:spacing w:after="100"/>
      <w:ind w:left="660"/>
    </w:pPr>
  </w:style>
  <w:style w:type="paragraph" w:styleId="1046">
    <w:name w:val="toc 5"/>
    <w:basedOn w:val="1054"/>
    <w:next w:val="1054"/>
    <w:uiPriority w:val="39"/>
    <w:unhideWhenUsed/>
    <w:pPr>
      <w:pBdr/>
      <w:spacing w:after="100"/>
      <w:ind w:left="880"/>
    </w:pPr>
  </w:style>
  <w:style w:type="paragraph" w:styleId="1047">
    <w:name w:val="toc 6"/>
    <w:basedOn w:val="1054"/>
    <w:next w:val="1054"/>
    <w:uiPriority w:val="39"/>
    <w:unhideWhenUsed/>
    <w:pPr>
      <w:pBdr/>
      <w:spacing w:after="100"/>
      <w:ind w:left="1100"/>
    </w:pPr>
  </w:style>
  <w:style w:type="paragraph" w:styleId="1048">
    <w:name w:val="toc 7"/>
    <w:basedOn w:val="1054"/>
    <w:next w:val="1054"/>
    <w:uiPriority w:val="39"/>
    <w:unhideWhenUsed/>
    <w:pPr>
      <w:pBdr/>
      <w:spacing w:after="100"/>
      <w:ind w:left="1320"/>
    </w:pPr>
  </w:style>
  <w:style w:type="paragraph" w:styleId="1049">
    <w:name w:val="toc 8"/>
    <w:basedOn w:val="1054"/>
    <w:next w:val="1054"/>
    <w:uiPriority w:val="39"/>
    <w:unhideWhenUsed/>
    <w:pPr>
      <w:pBdr/>
      <w:spacing w:after="100"/>
      <w:ind w:left="1540"/>
    </w:pPr>
  </w:style>
  <w:style w:type="paragraph" w:styleId="1050">
    <w:name w:val="toc 9"/>
    <w:basedOn w:val="1054"/>
    <w:next w:val="1054"/>
    <w:uiPriority w:val="39"/>
    <w:unhideWhenUsed/>
    <w:pPr>
      <w:pBdr/>
      <w:spacing w:after="100"/>
      <w:ind w:left="1760"/>
    </w:pPr>
  </w:style>
  <w:style w:type="character" w:styleId="1051">
    <w:name w:val="Placeholder Text"/>
    <w:basedOn w:val="1055"/>
    <w:uiPriority w:val="99"/>
    <w:semiHidden/>
    <w:pPr>
      <w:pBdr/>
      <w:spacing/>
      <w:ind/>
    </w:pPr>
    <w:rPr>
      <w:color w:val="666666"/>
    </w:rPr>
  </w:style>
  <w:style w:type="paragraph" w:styleId="1052">
    <w:name w:val="TOC Heading"/>
    <w:uiPriority w:val="39"/>
    <w:unhideWhenUsed/>
    <w:pPr>
      <w:pBdr/>
      <w:spacing/>
      <w:ind/>
    </w:pPr>
  </w:style>
  <w:style w:type="paragraph" w:styleId="1053">
    <w:name w:val="table of figures"/>
    <w:basedOn w:val="1054"/>
    <w:next w:val="1054"/>
    <w:uiPriority w:val="99"/>
    <w:unhideWhenUsed/>
    <w:pPr>
      <w:pBdr/>
      <w:spacing w:after="0" w:afterAutospacing="0"/>
      <w:ind/>
    </w:pPr>
  </w:style>
  <w:style w:type="paragraph" w:styleId="1054" w:default="1">
    <w:name w:val="Normal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character" w:styleId="105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56" w:customStyle="1">
    <w:name w:val="Encabezado Car"/>
    <w:basedOn w:val="1055"/>
    <w:link w:val="1070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1057" w:customStyle="1">
    <w:name w:val="Pie de página Car"/>
    <w:basedOn w:val="1055"/>
    <w:link w:val="1071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1058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1059" w:customStyle="1">
    <w:name w:val="Título Car"/>
    <w:qFormat/>
    <w:pPr>
      <w:pBdr/>
      <w:spacing/>
      <w:ind/>
    </w:pPr>
    <w:rPr>
      <w:rFonts w:ascii="Arial" w:hAnsi="Arial" w:eastAsia="Times New Roman"/>
      <w:b/>
      <w:sz w:val="24"/>
      <w:lang w:val="es-MX" w:eastAsia="es-MX"/>
    </w:rPr>
  </w:style>
  <w:style w:type="character" w:styleId="1060" w:customStyle="1">
    <w:name w:val="Título Car2"/>
    <w:link w:val="1075"/>
    <w:uiPriority w:val="10"/>
    <w:qFormat/>
    <w:pPr>
      <w:pBdr/>
      <w:spacing/>
      <w:ind/>
    </w:pPr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1061" w:customStyle="1">
    <w:name w:val="Título Car1"/>
    <w:basedOn w:val="1055"/>
    <w:uiPriority w:val="10"/>
    <w:qFormat/>
    <w:pPr>
      <w:pBdr/>
      <w:spacing/>
      <w:ind/>
    </w:pPr>
    <w:rPr>
      <w:rFonts w:ascii="Cambria" w:hAnsi="Cambria" w:asciiTheme="majorHAnsi" w:hAnsiTheme="majorHAnsi" w:eastAsiaTheme="majorEastAsia" w:cstheme="majorBidi"/>
      <w:color w:val="17365d" w:themeColor="text2" w:themeShade="BF"/>
      <w:spacing w:val="5"/>
      <w:sz w:val="52"/>
      <w:szCs w:val="52"/>
      <w:lang w:val="es-MX" w:eastAsia="es-MX"/>
    </w:rPr>
  </w:style>
  <w:style w:type="character" w:styleId="1062" w:customStyle="1">
    <w:name w:val="Texto de globo Car"/>
    <w:basedOn w:val="1055"/>
    <w:link w:val="1076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val="es-MX" w:eastAsia="es-MX"/>
    </w:rPr>
  </w:style>
  <w:style w:type="character" w:styleId="1063" w:customStyle="1">
    <w:name w:val="Texto independiente Car"/>
    <w:basedOn w:val="1055"/>
    <w:qFormat/>
    <w:pPr>
      <w:pBdr/>
      <w:spacing/>
      <w:ind/>
    </w:pPr>
    <w:rPr>
      <w:rFonts w:ascii="Arial" w:hAnsi="Arial" w:eastAsia="Times New Roman" w:cs="Times New Roman"/>
      <w:sz w:val="16"/>
      <w:szCs w:val="20"/>
      <w:lang w:eastAsia="es-ES"/>
    </w:rPr>
  </w:style>
  <w:style w:type="paragraph" w:styleId="1064">
    <w:name w:val="Heading"/>
    <w:basedOn w:val="1054"/>
    <w:next w:val="1065"/>
    <w:qFormat/>
    <w:pPr>
      <w:keepNext w:val="true"/>
      <w:pBdr/>
      <w:spacing w:after="120" w:before="240"/>
      <w:ind/>
    </w:pPr>
    <w:rPr>
      <w:rFonts w:ascii="Liberation Sans" w:hAnsi="Liberation Sans" w:eastAsia="Noto Sans CJK SC" w:cs="Lohit Devanagari"/>
      <w:sz w:val="28"/>
      <w:szCs w:val="28"/>
    </w:rPr>
  </w:style>
  <w:style w:type="paragraph" w:styleId="1065">
    <w:name w:val="Body Text"/>
    <w:basedOn w:val="1054"/>
    <w:link w:val="1063"/>
    <w:pPr>
      <w:pBdr/>
      <w:spacing/>
      <w:ind/>
      <w:jc w:val="both"/>
    </w:pPr>
    <w:rPr>
      <w:rFonts w:ascii="Arial" w:hAnsi="Arial"/>
      <w:sz w:val="16"/>
      <w:szCs w:val="20"/>
      <w:lang w:val="es-CO" w:eastAsia="es-ES"/>
    </w:rPr>
  </w:style>
  <w:style w:type="paragraph" w:styleId="1066">
    <w:name w:val="List"/>
    <w:basedOn w:val="1065"/>
    <w:pPr>
      <w:pBdr/>
      <w:spacing/>
      <w:ind/>
    </w:pPr>
    <w:rPr>
      <w:rFonts w:cs="Lohit Devanagari"/>
    </w:rPr>
  </w:style>
  <w:style w:type="paragraph" w:styleId="1067">
    <w:name w:val="Caption"/>
    <w:basedOn w:val="1054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1068">
    <w:name w:val="Index"/>
    <w:basedOn w:val="1054"/>
    <w:qFormat/>
    <w:pPr>
      <w:suppressLineNumbers w:val="true"/>
      <w:pBdr/>
      <w:spacing/>
      <w:ind/>
    </w:pPr>
    <w:rPr>
      <w:rFonts w:cs="Lohit Devanagari"/>
    </w:rPr>
  </w:style>
  <w:style w:type="paragraph" w:styleId="1069">
    <w:name w:val="Header and Footer"/>
    <w:basedOn w:val="1054"/>
    <w:qFormat/>
    <w:pPr>
      <w:pBdr/>
      <w:spacing/>
      <w:ind/>
    </w:pPr>
  </w:style>
  <w:style w:type="paragraph" w:styleId="1070">
    <w:name w:val="Header"/>
    <w:basedOn w:val="1054"/>
    <w:link w:val="105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71">
    <w:name w:val="Footer"/>
    <w:basedOn w:val="1054"/>
    <w:link w:val="1057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72">
    <w:name w:val="List Paragraph"/>
    <w:basedOn w:val="1054"/>
    <w:uiPriority w:val="34"/>
    <w:qFormat/>
    <w:pPr>
      <w:pBdr/>
      <w:spacing/>
      <w:ind w:firstLine="0" w:left="708"/>
    </w:pPr>
  </w:style>
  <w:style w:type="paragraph" w:styleId="1073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es-ES" w:eastAsia="en-US" w:bidi="ar-SA"/>
    </w:rPr>
  </w:style>
  <w:style w:type="paragraph" w:styleId="1074">
    <w:name w:val="Normal (Web)"/>
    <w:basedOn w:val="1054"/>
    <w:uiPriority w:val="99"/>
    <w:unhideWhenUsed/>
    <w:qFormat/>
    <w:pPr>
      <w:pBdr/>
      <w:spacing w:afterAutospacing="1" w:beforeAutospacing="1"/>
      <w:ind/>
    </w:pPr>
    <w:rPr>
      <w:lang w:val="es-CO" w:eastAsia="es-CO"/>
    </w:rPr>
  </w:style>
  <w:style w:type="paragraph" w:styleId="1075">
    <w:name w:val="Title"/>
    <w:basedOn w:val="1054"/>
    <w:next w:val="1054"/>
    <w:link w:val="1060"/>
    <w:uiPriority w:val="10"/>
    <w:qFormat/>
    <w:pPr>
      <w:pBdr>
        <w:bottom w:val="single" w:color="4f81bd" w:sz="8" w:space="4"/>
      </w:pBdr>
      <w:spacing w:after="300" w:before="0"/>
      <w:ind/>
      <w:contextualSpacing w:val="true"/>
    </w:pPr>
    <w:rPr>
      <w:rFonts w:ascii="Calibri Light" w:hAnsi="Calibri Light"/>
      <w:b/>
      <w:bCs/>
      <w:sz w:val="32"/>
      <w:szCs w:val="32"/>
    </w:rPr>
  </w:style>
  <w:style w:type="paragraph" w:styleId="1076">
    <w:name w:val="Balloon Text"/>
    <w:basedOn w:val="1054"/>
    <w:link w:val="1062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77">
    <w:name w:val="LO-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4"/>
      <w:szCs w:val="22"/>
      <w:lang w:val="es-CO" w:eastAsia="en-US" w:bidi="ar-SA"/>
    </w:rPr>
  </w:style>
  <w:style w:type="numbering" w:styleId="1078" w:default="1">
    <w:name w:val="No List"/>
    <w:uiPriority w:val="99"/>
    <w:semiHidden/>
    <w:unhideWhenUsed/>
    <w:qFormat/>
    <w:pPr>
      <w:pBdr/>
      <w:spacing/>
      <w:ind/>
    </w:pPr>
  </w:style>
  <w:style w:type="table" w:styleId="1079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Table Grid"/>
    <w:basedOn w:val="107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ONLYOFFICE/9.1.0.172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ALARCON</dc:creator>
  <dc:description/>
  <dc:language>es-CO</dc:language>
  <cp:revision>31</cp:revision>
  <dcterms:created xsi:type="dcterms:W3CDTF">2023-10-26T22:16:00Z</dcterms:created>
  <dcterms:modified xsi:type="dcterms:W3CDTF">2025-11-07T15:16:03Z</dcterms:modified>
</cp:coreProperties>
</file>