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</w:t>
      </w:r>
      <w:r>
        <w:rPr>
          <w:rFonts w:ascii="Arial" w:hAnsi="Arial" w:cs="Arial"/>
          <w:color w:val="000000"/>
          <w:lang w:val="es-CO"/>
        </w:rPr>
        <w:t xml:space="preserve">a la fecha tiene un bien inmueble registrado a su nombre, ubicado en ${direccionmatriculainmobiliaria} del Municipio de ${municipiomatriculainmobiliaria} del Departamento de ${departamentomatriculainmobiliaria}, identificado con matrícula inmobiliaria No. </w:t>
      </w:r>
      <w:r>
        <w:rPr>
          <w:rFonts w:ascii="Arial" w:hAnsi="Arial" w:cs="Arial"/>
        </w:rPr>
        <w:t xml:space="preserve">${numeromatriculainmobiliaria}</w:t>
      </w:r>
      <w:r>
        <w:rPr>
          <w:rFonts w:ascii="Arial" w:hAnsi="Arial" w:cs="Arial"/>
          <w:color w:val="000000"/>
          <w:lang w:val="es-CO"/>
        </w:rPr>
        <w:t xml:space="preserve">, cuyo estado del inmueble a la fecha es Activo. Por la cual es procedente expedir medida cautelar.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B05C-1A37-A742-A1C1-51192392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12</cp:revision>
  <dcterms:created xsi:type="dcterms:W3CDTF">2019-03-08T15:27:00Z</dcterms:created>
  <dcterms:modified xsi:type="dcterms:W3CDTF">2024-12-02T16:43:19Z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