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a la fecha no existen bienes inmuebles registrados a nombre de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la Registraduría Nacional del Estado Civil, canceló mediante Resolución No. ${numeroresolucionfallecido} del año ${fecharesolucionfallecidoan}, por muerte la </w:t>
      </w:r>
      <w:r>
        <w:rPr>
          <w:rFonts w:ascii="Arial" w:hAnsi="Arial" w:cs="Arial"/>
          <w:color w:val="000000" w:themeColor="text1"/>
        </w:rPr>
        <w:t xml:space="preserve">${titpropietariovehiculo}</w:t>
      </w:r>
      <w:r>
        <w:rPr>
          <w:rFonts w:ascii="Arial" w:hAnsi="Arial" w:cs="Arial"/>
          <w:color w:val="000000"/>
          <w:lang w:val="es-CO"/>
        </w:rPr>
        <w:t xml:space="preserve"> No </w:t>
      </w:r>
      <w:r>
        <w:rPr>
          <w:rFonts w:ascii="Arial" w:hAnsi="Arial" w:cs="Arial"/>
          <w:color w:val="000000" w:themeColor="text1"/>
        </w:rPr>
        <w:t xml:space="preserve">${nipropietariovehiculo}</w:t>
      </w:r>
      <w:r>
        <w:rPr>
          <w:rFonts w:ascii="Arial" w:hAnsi="Arial" w:cs="Arial"/>
          <w:color w:val="000000"/>
          <w:lang w:val="es-CO"/>
        </w:rPr>
        <w:t xml:space="preserve">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por encontrarse Fallecido el deudor, no es pertinente expedir medida cautelar, que ordene el embargo de las cuentas Bancarias a nombre de el (la) Señor (a) </w:t>
      </w:r>
      <w:r>
        <w:rPr>
          <w:rFonts w:ascii="Arial" w:hAnsi="Arial" w:cs="Arial"/>
          <w:color w:val="000000" w:themeColor="text1"/>
        </w:rPr>
        <w:t xml:space="preserve">${propietariovehiculo}</w:t>
      </w:r>
      <w:r>
        <w:rPr>
          <w:rFonts w:ascii="Arial" w:hAnsi="Arial" w:cs="Arial"/>
          <w:color w:val="000000"/>
          <w:lang w:val="es-CO"/>
        </w:rPr>
        <w:t xml:space="preserve"> (Q.E.P.D).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>
        <w:trHeight w:val="478"/>
      </w:trPr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182A-3625-5B45-9138-D3C1DF78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9</cp:revision>
  <dcterms:created xsi:type="dcterms:W3CDTF">2019-03-08T15:28:00Z</dcterms:created>
  <dcterms:modified xsi:type="dcterms:W3CDTF">2024-12-02T16:43:32Z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