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spacing w:before="0" w:after="0"/>
              <w:contextualSpacing/>
              <w:jc w:val="right"/>
              <w:rPr>
                <w:rFonts w:ascii="Arial" w:hAnsi="Arial" w:cs="Arial"/>
                <w:sz w:val="20"/>
                <w:szCs w:val="20"/>
                <w:lang w:val="es-ES"/>
              </w:rPr>
            </w:pPr>
            <w:r>
              <w:rPr>
                <w:rFonts w:cs="Arial" w:ascii="Arial" w:hAnsi="Arial"/>
                <w:b/>
                <w:bCs/>
                <w:sz w:val="20"/>
                <w:szCs w:val="20"/>
                <w:lang w:val="es-ES"/>
              </w:rPr>
              <w:t>${numeroexpediente}</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${fechaexpediente}</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${placavehiculo}</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${vigenciaexpediente}</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${numeroexpediente}</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${fechaexpediente}</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${propietariovehiculo}</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${tnipropietariovehiculo}</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Rentas Departamental expedido mediante ordenanza No. 027del 2023.</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ORDENA</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TERCERO: Procédase a determinar la dirección fiscal del contribuyente ${textopropietariovehiculo}, de conformidad con el procedimiento establecido en el inciso 2 ó 3 del  artículo 339 del Estatuto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4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4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4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LibreOffice/24.2.7.2$Linux_X86_64 LibreOffice_project/420$Build-2</Application>
  <AppVersion>15.0000</AppVersion>
  <Pages>1</Pages>
  <Words>275</Words>
  <Characters>1920</Characters>
  <CharactersWithSpaces>2158</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2025-12-13T09:27:47Z</dcterms:modified>
  <cp:revision>151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