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“</w:t>
      </w:r>
      <w:r>
        <w:rPr>
          <w:rFonts w:cs="Arial" w:ascii="Arial" w:hAnsi="Arial"/>
          <w:sz w:val="24"/>
          <w:szCs w:val="24"/>
          <w:lang w:val="es-ES"/>
        </w:rPr>
        <w:t>Auto por el cual se determina la dirección fiscal de un contribuyente”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 xml:space="preserve">El(La) suscrito(a) funcionario(a) competente en el área de Liquidación Oficial de la Dirección de Rentas de la Secretaría de Hacienda de Casanare, en uso de sus facultades legales y las conferidas en la Resolución 002 de 2015, emanada por la Secretaria de Hacienda Departamental, y artículo 387 </w:t>
      </w:r>
      <w:r>
        <w:rPr>
          <w:rFonts w:cs="Arial" w:ascii="Arial" w:hAnsi="Arial"/>
          <w:sz w:val="24"/>
          <w:szCs w:val="24"/>
          <w:lang w:val="es-CO"/>
        </w:rPr>
        <w:t>del Estatuto de Rentas del Departamento de Casanare</w:t>
      </w:r>
      <w:r>
        <w:rPr>
          <w:rFonts w:cs="Arial" w:ascii="Arial" w:hAnsi="Arial"/>
          <w:sz w:val="24"/>
          <w:szCs w:val="24"/>
          <w:lang w:val="es-ES"/>
        </w:rPr>
        <w:t>, determina que el contribuyente ${textopropietariovehiculo}, propietario del vehículo de placa ${placavehiculo}, se le determina como dirección la siguiente: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MX"/>
        </w:rPr>
        <w:t>No se determina dirección: ${comunicadofiscaldirlo}</w:t>
      </w:r>
      <w:r>
        <w:rPr>
          <w:rFonts w:cs="Arial" w:ascii="Arial" w:hAnsi="Arial"/>
          <w:sz w:val="24"/>
          <w:szCs w:val="24"/>
          <w:lang w:val="es-ES"/>
        </w:rPr>
        <w:t>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MX"/>
        </w:rPr>
        <w:t>Por lo anterior los actos proferidos por este(a) funcionario(a) competente quedaran asimilados a la información ya actualizada.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MX"/>
        </w:rPr>
        <w:t>El presente acto se suscribe el ${fechatemporaldl} (${fechatemporaldn}) de ${fechatemporalmc} de ${fechatemporalan}.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${nombrejefeliquidacionoficial}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${cargojefeliquidacionoficial}</w:t>
            </w:r>
          </w:p>
        </w:tc>
      </w:tr>
      <w:tr>
        <w:trPr/>
        <w:tc>
          <w:tcPr>
            <w:tcW w:w="8838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19455" cy="86804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868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19455" cy="86804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868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2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0fff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LibreOffice/24.2.7.2$Linux_X86_64 LibreOffice_project/420$Build-2</Application>
  <AppVersion>15.0000</AppVersion>
  <Pages>1</Pages>
  <Words>177</Words>
  <Characters>1219</Characters>
  <CharactersWithSpaces>1370</CharactersWithSpaces>
  <Paragraphs>27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2025-12-15T08:22:44Z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