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Yopal, ${fechaactualdn} de ${fechaactualmc} de ${fechaactualan}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Director Técnico de Rentas de la Gobernación de Casanare,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Actuando conforme a las Competencias Funcionales Delegadas mediante Decreto No. 0181 del 27 junio de 2017, emanado del </w:t>
      </w:r>
      <w:r>
        <w:rPr>
          <w:rFonts w:ascii="Arial" w:hAnsi="Arial" w:cs="Arial"/>
          <w:color w:val="000000" w:themeColor="text1"/>
        </w:rPr>
        <w:t xml:space="preserve">Despacho del Señor Gobernador de Casanare y dando aplicación a los artículos 599 y 676 del Estatuto Tributario Departamental, procede a realizar la Liquidación del Crédito y costas procesales del Proceso No. ${numeroexpedientecobro}, previa las siguientes: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 w:firstLine="0" w:left="142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CONSIDERACIONES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Que este Despacho mediante Resolución No ${numeroresolucionsentencia} de fecha ${fecharesolucionsentenciadn} de ${fecharesolucionsentenciamc} de ${fecharesolucionsentenciaan}, ordenó seguir adelante con la ejecución, en contra del señor (a) </w:t>
      </w:r>
      <w:r>
        <w:rPr>
          <w:rFonts w:ascii="Arial" w:hAnsi="Arial" w:cs="Arial"/>
        </w:rPr>
        <w:t xml:space="preserve">${propietariovehiculo} Identificado (a) con ${titpropietariovehiculo}  No.  ${nipropietariovehiculo}</w:t>
      </w:r>
      <w:r>
        <w:rPr>
          <w:rFonts w:ascii="Arial" w:hAnsi="Arial" w:cs="Arial"/>
          <w:color w:val="000000" w:themeColor="text1"/>
        </w:rPr>
        <w:t xml:space="preserve">, por concepto del no pago de impuesto sobre vehículos automotores, correspondiente al Vehículo marca ${marcavehiculo}, modelo ${modelovehiculo}, placa ${placavehiculo}.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Que esta oficina con base en la competencia que para el efecto le otorgó el Estatuto Trib</w:t>
      </w:r>
      <w:r>
        <w:rPr>
          <w:rFonts w:ascii="Arial" w:hAnsi="Arial" w:cs="Arial"/>
          <w:color w:val="000000" w:themeColor="text1"/>
        </w:rPr>
        <w:t xml:space="preserve">utario Nacional y el Estatuto Tributario del Departamento de Casanare y demás normas concordantes, efectuó debidamente la diligencia de embargo y secuestro del bien inmueble identificado con matricula inmobiliaria No. 470-34826, de propiedad del señor (a) </w:t>
      </w:r>
      <w:r>
        <w:rPr>
          <w:rFonts w:ascii="Arial" w:hAnsi="Arial" w:cs="Arial"/>
        </w:rPr>
        <w:t xml:space="preserve">${propietariovehiculo}</w:t>
      </w:r>
      <w:r>
        <w:rPr>
          <w:rFonts w:ascii="Arial" w:hAnsi="Arial" w:cs="Arial"/>
          <w:color w:val="000000" w:themeColor="text1"/>
        </w:rPr>
        <w:t xml:space="preserve">, dentro del proceso de Cobro Coactivo No. ${numeroexpedientecobro}.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 conformidad con lo expuesto, se procede a liquidar el crédito y las costas Procesales con corte a ${fechaactualdn} de ${fechaactualmc} de ${fechaactualan} de la siguiente manera: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Liquidación de Crédito y Costas</w:t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tbl>
      <w:tblPr>
        <w:tblStyle w:val="1003"/>
        <w:tblW w:w="8505" w:type="dxa"/>
        <w:jc w:val="center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4677"/>
      </w:tblGrid>
      <w:tr>
        <w:trPr>
          <w:trHeight w:val="18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Proceso de cobro Coactivo No.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${numeroexpedientecobro}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>
          <w:trHeight w:val="7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Contribuyente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${propietariovehiculo}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>
          <w:trHeight w:val="77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${titpropietariovehiculo}  No.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${nipropietariovehiculo}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Tipo de Impuesto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Impuesto Sobre Vehículos Automotores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Predio Embargo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Matricula Inmobiliaria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470-34826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Dirección del Predio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Calle 26 B No. 11 – 62 del Municipio de Yopal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</w:tbl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1. Liquidación del Crédito</w:t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tbl>
      <w:tblPr>
        <w:tblStyle w:val="1003"/>
        <w:tblW w:w="8505" w:type="dxa"/>
        <w:jc w:val="center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31"/>
        <w:gridCol w:w="1518"/>
        <w:gridCol w:w="1"/>
        <w:gridCol w:w="1506"/>
        <w:gridCol w:w="1"/>
        <w:gridCol w:w="1490"/>
        <w:gridCol w:w="1506"/>
        <w:gridCol w:w="1"/>
        <w:gridCol w:w="1650"/>
      </w:tblGrid>
      <w:tr>
        <w:trPr/>
        <w:tc>
          <w:tcPr>
            <w:shd w:val="clear" w:color="auto" w:fill="auto"/>
            <w:tcBorders/>
            <w:tcW w:w="83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Año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518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Avalúo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50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Impuesto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49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Sanción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506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Intereses 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65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Valor Total 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shd w:val="clear" w:color="auto" w:fill="auto"/>
            <w:tcBorders/>
            <w:tcW w:w="83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2006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518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4.296.000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50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64.000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49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130.000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506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221.300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65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415.300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shd w:val="clear" w:color="auto" w:fill="auto"/>
            <w:tcBorders/>
            <w:tcW w:w="83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2008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518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4.846.000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50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73.000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49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146.000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506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210.900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651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429.900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/>
            <w:tcW w:w="2350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50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137.000</w: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490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276.000</w: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/>
            <w:tcW w:w="1507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432.200</w: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650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845.200</w: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</w:r>
          </w:p>
        </w:tc>
      </w:tr>
    </w:tbl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Total de liquidación del crédito: Ochocientos Cuarenta y Cinco Mil Doscientos Pesos Mcte. ($ 845.200).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2. Liquidación de Costas Procesales</w:t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tbl>
      <w:tblPr>
        <w:tblStyle w:val="1003"/>
        <w:tblW w:w="8505" w:type="dxa"/>
        <w:jc w:val="center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9"/>
        <w:gridCol w:w="4245"/>
      </w:tblGrid>
      <w:tr>
        <w:trPr/>
        <w:tc>
          <w:tcPr>
            <w:shd w:val="clear" w:color="auto" w:fill="auto"/>
            <w:tcBorders/>
            <w:tcW w:w="4259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Detalle Costas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245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Valor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shd w:val="clear" w:color="auto" w:fill="auto"/>
            <w:tcBorders/>
            <w:tcW w:w="4259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Honorarios Secuestre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245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520.828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/>
        <w:tc>
          <w:tcPr>
            <w:shd w:val="clear" w:color="auto" w:fill="auto"/>
            <w:tcBorders/>
            <w:tcW w:w="4259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4245" w:type="dxa"/>
            <w:textDirection w:val="lrTb"/>
            <w:noWrap w:val="false"/>
          </w:tcPr>
          <w:p>
            <w:pPr>
              <w:pStyle w:val="979"/>
              <w:pBdr/>
              <w:spacing w:after="0" w:before="0" w:line="240" w:lineRule="auto"/>
              <w:ind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520.828</w: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</w:r>
          </w:p>
        </w:tc>
      </w:tr>
    </w:tbl>
    <w:p>
      <w:pPr>
        <w:pStyle w:val="979"/>
        <w:pBdr/>
        <w:spacing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Total de liquidación de Costas: Quinientos Veinte Mil Ochocientos Veintiocho Pesos Mcte. (520.828).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Total Crédito + Costas Procesales = Un Millón Trescientos Sesenta y Seis Mil Veintiocho pesos Mcte.  (1.366.028).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mérito de lo expuesto este despacho,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RESUELVE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Artículo 1: Fijar en Un Millón Trescientos Sesenta y Seis Mil Veintiocho Pesos Mcte.             (</w:t>
      </w:r>
      <w:bookmarkStart w:id="0" w:name="_GoBack"/>
      <w:r/>
      <w:bookmarkEnd w:id="0"/>
      <w:r>
        <w:rPr>
          <w:rFonts w:ascii="Arial" w:hAnsi="Arial" w:cs="Arial"/>
          <w:color w:val="000000" w:themeColor="text1"/>
        </w:rPr>
        <w:t xml:space="preserve">1.366.028), la suma que por concepto de crédito y las costas procesales debe pagar a favor del Departamento de Casanare, el contribuyente </w:t>
      </w:r>
      <w:r>
        <w:rPr>
          <w:rFonts w:ascii="Arial" w:hAnsi="Arial" w:cs="Arial"/>
        </w:rPr>
        <w:t xml:space="preserve">${propietariovehiculo} Identificado (a) con ${titpropietariovehiculo}  No.  ${nipropietariovehiculo}</w:t>
      </w:r>
      <w:r>
        <w:rPr>
          <w:rFonts w:ascii="Arial" w:hAnsi="Arial" w:cs="Arial"/>
          <w:color w:val="000000" w:themeColor="text1"/>
        </w:rPr>
        <w:t xml:space="preserve">, más los intereses y vigencias causados hasta el pago efectivo de la obligación.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Artículo 2: Correr traslado de esta liquidación al deudor, por el término de tres (3) días hábiles, para que formule las objeciones pertinentes para lo cual el expediente permanecerá a su disposición en este Despacho (Art. 446 Código General Proceso).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NOTIFÍQUESE Y CÚMPLASE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YONNY SILVA RIVERA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Director Técnico de Rentas Departamental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79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9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9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9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79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${proyectodocumento}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79"/>
        <w:pBdr/>
        <w:spacing/>
        <w:ind/>
        <w:jc w:val="both"/>
        <w:rPr/>
      </w:pPr>
      <w:r>
        <w:rPr>
          <w:rFonts w:ascii="Arial" w:hAnsi="Arial" w:cs="Arial"/>
          <w:sz w:val="20"/>
          <w:szCs w:val="20"/>
        </w:rPr>
        <w:t xml:space="preserve">${cargoproyectodocumento}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ingFang SC">
    <w:panose1 w:val="05040102010807070707"/>
  </w:font>
  <w:font w:name="Tahoma">
    <w:panose1 w:val="020B0604030504040204"/>
  </w:font>
  <w:font w:name="Calibri Light">
    <w:panose1 w:val="020F050202020403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95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 8-02 Gobernación de Casanare Tel. 6336339 Ext. 1320 Yopal 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95"/>
            <w:pBdr/>
            <w:spacing/>
            <w:ind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8"/>
              <w:szCs w:val="18"/>
              <w:lang w:val="pt-BR"/>
            </w:rPr>
          </w:r>
          <w:r>
            <w:rPr>
              <w:rFonts w:ascii="Arial" w:hAnsi="Arial" w:cs="Arial"/>
              <w:i/>
              <w:sz w:val="18"/>
              <w:szCs w:val="18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94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 xml:space="preserve">3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de </w:t>
          </w: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NUMPAGES \* ARABIC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 xml:space="preserve">3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  <w:r/>
        </w:p>
      </w:tc>
    </w:tr>
  </w:tbl>
  <w:p>
    <w:pPr>
      <w:pStyle w:val="99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588" w:type="dxa"/>
      <w:jc w:val="center"/>
      <w:tblBorders/>
      <w:tblLook w:val="04A0" w:firstRow="1" w:lastRow="0" w:firstColumn="1" w:lastColumn="0" w:noHBand="0" w:noVBand="1"/>
    </w:tblPr>
    <w:tblGrid>
      <w:gridCol w:w="1800"/>
      <w:gridCol w:w="7788"/>
    </w:tblGrid>
    <w:tr>
      <w:trPr>
        <w:jc w:val="center"/>
        <w:trHeight w:val="180"/>
      </w:trPr>
      <w:tc>
        <w:tcPr>
          <w:tcBorders/>
          <w:tcW w:w="1800" w:type="dxa"/>
          <w:vAlign w:val="center"/>
          <w:textDirection w:val="lrTb"/>
          <w:noWrap w:val="false"/>
        </w:tcPr>
        <w:p>
          <w:pPr>
            <w:pStyle w:val="994"/>
            <w:pBdr/>
            <w:spacing/>
            <w:ind/>
            <w:rPr/>
          </w:pPr>
          <w:r>
            <w:rPr>
              <w:lang w:val="es-ES" w:eastAsia="es-ES"/>
            </w:rPr>
            <w:t xml:space="preserve">    </w:t>
          </w:r>
          <w:r>
            <w:rPr>
              <w:lang w:val="es-CO" w:eastAsia="es-CO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71525" cy="1066800"/>
                    <wp:effectExtent l="0" t="0" r="9525" b="0"/>
                    <wp:docPr id="1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3475324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71525" cy="1066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0.75pt;height:84.0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  <w:r/>
        </w:p>
      </w:tc>
      <w:tc>
        <w:tcPr>
          <w:tcBorders/>
          <w:tcW w:w="7788" w:type="dxa"/>
          <w:vAlign w:val="center"/>
          <w:textDirection w:val="lrTb"/>
          <w:noWrap w:val="false"/>
        </w:tcPr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AUTO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GENERAL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GF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38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15</w:t>
          </w:r>
          <w:r>
            <w:rPr>
              <w:rFonts w:ascii="Arial" w:hAnsi="Arial" w:cs="Arial"/>
              <w:sz w:val="18"/>
              <w:szCs w:val="18"/>
            </w:rPr>
            <w:t xml:space="preserve">-1</w:t>
          </w:r>
          <w:r>
            <w:rPr>
              <w:rFonts w:ascii="Arial" w:hAnsi="Arial" w:cs="Arial"/>
              <w:sz w:val="18"/>
              <w:szCs w:val="18"/>
            </w:rPr>
            <w:t xml:space="preserve">2</w:t>
          </w:r>
          <w:r>
            <w:rPr>
              <w:rFonts w:ascii="Arial" w:hAnsi="Arial" w:cs="Arial"/>
              <w:sz w:val="18"/>
              <w:szCs w:val="18"/>
            </w:rPr>
            <w:t xml:space="preserve">-2</w:t>
          </w:r>
          <w:r>
            <w:rPr>
              <w:rFonts w:ascii="Arial" w:hAnsi="Arial" w:cs="Arial"/>
              <w:sz w:val="18"/>
              <w:szCs w:val="18"/>
            </w:rPr>
            <w:t xml:space="preserve">020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V. 0</w:t>
          </w:r>
          <w:r>
            <w:rPr>
              <w:rFonts w:ascii="Arial" w:hAnsi="Arial" w:cs="Arial"/>
              <w:sz w:val="18"/>
              <w:szCs w:val="18"/>
            </w:rPr>
            <w:t xml:space="preserve">1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994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</w:tc>
    </w:tr>
  </w:tbl>
  <w:p>
    <w:pPr>
      <w:pStyle w:val="994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highlight w:val="none"/>
      </w:rPr>
    </w:r>
    <w:r>
      <w:rPr>
        <w:rFonts w:ascii="Arial" w:hAnsi="Arial" w:cs="Arial"/>
        <w:highlight w:val="none"/>
      </w:rPr>
    </w:r>
  </w:p>
  <w:p>
    <w:pPr>
      <w:pStyle w:val="994"/>
      <w:pBdr/>
      <w:spacing/>
      <w:ind/>
      <w:jc w:val="center"/>
      <w:rPr>
        <w:rFonts w:ascii="Arial" w:hAnsi="Arial" w:cs="Arial"/>
        <w:highlight w:val="none"/>
      </w:rPr>
    </w:pPr>
    <w:r>
      <w:rPr>
        <w:rFonts w:ascii="Arial" w:hAnsi="Arial" w:cs="Arial"/>
      </w:rPr>
      <w:t xml:space="preserve">Por el cual se liquida el crédito y costas de un proceso de cobro coactivo</w:t>
    </w:r>
    <w:r>
      <w:rPr>
        <w:rFonts w:ascii="Arial" w:hAnsi="Arial" w:cs="Arial"/>
      </w:rPr>
    </w:r>
    <w:r>
      <w:rPr>
        <w:rFonts w:ascii="Arial" w:hAnsi="Arial" w:cs="Arial"/>
        <w:highlight w:val="none"/>
      </w:rPr>
    </w:r>
  </w:p>
  <w:p>
    <w:pPr>
      <w:pStyle w:val="994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994"/>
      <w:pBdr/>
      <w:spacing/>
      <w:ind/>
      <w:rPr/>
    </w:pPr>
    <w:r>
      <w:rPr>
        <w:rFonts w:ascii="Arial" w:hAnsi="Arial" w:cs="Arial"/>
      </w:rPr>
      <w:t xml:space="preserve">350 195 15</w:t>
    </w:r>
    <w:r/>
  </w:p>
  <w:p>
    <w:pPr>
      <w:pStyle w:val="994"/>
      <w:pBdr/>
      <w:spacing/>
      <w:ind/>
      <w:rPr>
        <w:rFonts w:ascii="Arial" w:hAnsi="Arial" w:cs="Arial"/>
      </w:rPr>
    </w:pPr>
    <w:r>
      <w:rPr>
        <w:rFonts w:ascii="Arial" w:hAnsi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es-CO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8">
    <w:name w:val="Heading 1"/>
    <w:basedOn w:val="979"/>
    <w:next w:val="979"/>
    <w:link w:val="80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09">
    <w:name w:val="Heading 1 Char"/>
    <w:basedOn w:val="980"/>
    <w:link w:val="8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10">
    <w:name w:val="Heading 2"/>
    <w:basedOn w:val="979"/>
    <w:next w:val="979"/>
    <w:link w:val="81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11">
    <w:name w:val="Heading 2 Char"/>
    <w:basedOn w:val="980"/>
    <w:link w:val="81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2">
    <w:name w:val="Heading 3"/>
    <w:basedOn w:val="979"/>
    <w:next w:val="979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3">
    <w:name w:val="Heading 3 Char"/>
    <w:basedOn w:val="980"/>
    <w:link w:val="8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979"/>
    <w:next w:val="979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5">
    <w:name w:val="Heading 4 Char"/>
    <w:basedOn w:val="980"/>
    <w:link w:val="8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6">
    <w:name w:val="Heading 5"/>
    <w:basedOn w:val="979"/>
    <w:next w:val="979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7">
    <w:name w:val="Heading 5 Char"/>
    <w:basedOn w:val="980"/>
    <w:link w:val="8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8">
    <w:name w:val="Heading 6"/>
    <w:basedOn w:val="979"/>
    <w:next w:val="979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9">
    <w:name w:val="Heading 6 Char"/>
    <w:basedOn w:val="980"/>
    <w:link w:val="8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20">
    <w:name w:val="Heading 7"/>
    <w:basedOn w:val="979"/>
    <w:next w:val="979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7 Char"/>
    <w:basedOn w:val="980"/>
    <w:link w:val="8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2">
    <w:name w:val="Heading 8"/>
    <w:basedOn w:val="979"/>
    <w:next w:val="979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3">
    <w:name w:val="Heading 8 Char"/>
    <w:basedOn w:val="980"/>
    <w:link w:val="8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4">
    <w:name w:val="Heading 9"/>
    <w:basedOn w:val="979"/>
    <w:next w:val="979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5">
    <w:name w:val="Heading 9 Char"/>
    <w:basedOn w:val="980"/>
    <w:link w:val="8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6">
    <w:name w:val="Title Char"/>
    <w:basedOn w:val="980"/>
    <w:link w:val="999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979"/>
    <w:next w:val="979"/>
    <w:link w:val="8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8">
    <w:name w:val="Subtitle Char"/>
    <w:basedOn w:val="980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979"/>
    <w:next w:val="979"/>
    <w:link w:val="830"/>
    <w:uiPriority w:val="29"/>
    <w:qFormat/>
    <w:pPr>
      <w:pBdr/>
      <w:spacing/>
      <w:ind w:right="720" w:left="720"/>
    </w:pPr>
    <w:rPr>
      <w:i/>
    </w:rPr>
  </w:style>
  <w:style w:type="character" w:styleId="830">
    <w:name w:val="Quote Char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979"/>
    <w:next w:val="979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32">
    <w:name w:val="Intense Quote Char"/>
    <w:link w:val="831"/>
    <w:uiPriority w:val="30"/>
    <w:pPr>
      <w:pBdr/>
      <w:spacing/>
      <w:ind/>
    </w:pPr>
    <w:rPr>
      <w:i/>
    </w:rPr>
  </w:style>
  <w:style w:type="character" w:styleId="833">
    <w:name w:val="Header Char"/>
    <w:basedOn w:val="980"/>
    <w:link w:val="994"/>
    <w:uiPriority w:val="99"/>
    <w:pPr>
      <w:pBdr/>
      <w:spacing/>
      <w:ind/>
    </w:pPr>
  </w:style>
  <w:style w:type="character" w:styleId="834">
    <w:name w:val="Footer Char"/>
    <w:basedOn w:val="980"/>
    <w:link w:val="995"/>
    <w:uiPriority w:val="99"/>
    <w:pPr>
      <w:pBdr/>
      <w:spacing/>
      <w:ind/>
    </w:pPr>
  </w:style>
  <w:style w:type="character" w:styleId="835">
    <w:name w:val="Caption Char"/>
    <w:basedOn w:val="992"/>
    <w:link w:val="995"/>
    <w:uiPriority w:val="99"/>
    <w:pPr>
      <w:pBdr/>
      <w:spacing/>
      <w:ind/>
    </w:pPr>
  </w:style>
  <w:style w:type="table" w:styleId="836">
    <w:name w:val="Table Grid Light"/>
    <w:basedOn w:val="10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1"/>
    <w:basedOn w:val="10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2"/>
    <w:basedOn w:val="10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1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2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3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4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5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6"/>
    <w:basedOn w:val="10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1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2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3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4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5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6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1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2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3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4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5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6"/>
    <w:basedOn w:val="10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1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2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3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4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5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6"/>
    <w:basedOn w:val="10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2">
    <w:name w:val="footnote text"/>
    <w:basedOn w:val="979"/>
    <w:link w:val="96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3">
    <w:name w:val="Footnote Text Char"/>
    <w:link w:val="962"/>
    <w:uiPriority w:val="99"/>
    <w:pPr>
      <w:pBdr/>
      <w:spacing/>
      <w:ind/>
    </w:pPr>
    <w:rPr>
      <w:sz w:val="18"/>
    </w:rPr>
  </w:style>
  <w:style w:type="character" w:styleId="964">
    <w:name w:val="footnote reference"/>
    <w:basedOn w:val="980"/>
    <w:uiPriority w:val="99"/>
    <w:unhideWhenUsed/>
    <w:pPr>
      <w:pBdr/>
      <w:spacing/>
      <w:ind/>
    </w:pPr>
    <w:rPr>
      <w:vertAlign w:val="superscript"/>
    </w:rPr>
  </w:style>
  <w:style w:type="paragraph" w:styleId="965">
    <w:name w:val="endnote text"/>
    <w:basedOn w:val="979"/>
    <w:link w:val="9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6">
    <w:name w:val="Endnote Text Char"/>
    <w:link w:val="965"/>
    <w:uiPriority w:val="99"/>
    <w:pPr>
      <w:pBdr/>
      <w:spacing/>
      <w:ind/>
    </w:pPr>
    <w:rPr>
      <w:sz w:val="20"/>
    </w:rPr>
  </w:style>
  <w:style w:type="character" w:styleId="967">
    <w:name w:val="endnote reference"/>
    <w:basedOn w:val="980"/>
    <w:uiPriority w:val="99"/>
    <w:semiHidden/>
    <w:unhideWhenUsed/>
    <w:pPr>
      <w:pBdr/>
      <w:spacing/>
      <w:ind/>
    </w:pPr>
    <w:rPr>
      <w:vertAlign w:val="superscript"/>
    </w:rPr>
  </w:style>
  <w:style w:type="paragraph" w:styleId="968">
    <w:name w:val="toc 1"/>
    <w:basedOn w:val="979"/>
    <w:next w:val="979"/>
    <w:uiPriority w:val="39"/>
    <w:unhideWhenUsed/>
    <w:pPr>
      <w:pBdr/>
      <w:spacing w:after="57"/>
      <w:ind w:right="0" w:firstLine="0" w:left="0"/>
    </w:pPr>
  </w:style>
  <w:style w:type="paragraph" w:styleId="969">
    <w:name w:val="toc 2"/>
    <w:basedOn w:val="979"/>
    <w:next w:val="979"/>
    <w:uiPriority w:val="39"/>
    <w:unhideWhenUsed/>
    <w:pPr>
      <w:pBdr/>
      <w:spacing w:after="57"/>
      <w:ind w:right="0" w:firstLine="0" w:left="283"/>
    </w:pPr>
  </w:style>
  <w:style w:type="paragraph" w:styleId="970">
    <w:name w:val="toc 3"/>
    <w:basedOn w:val="979"/>
    <w:next w:val="979"/>
    <w:uiPriority w:val="39"/>
    <w:unhideWhenUsed/>
    <w:pPr>
      <w:pBdr/>
      <w:spacing w:after="57"/>
      <w:ind w:right="0" w:firstLine="0" w:left="567"/>
    </w:pPr>
  </w:style>
  <w:style w:type="paragraph" w:styleId="971">
    <w:name w:val="toc 4"/>
    <w:basedOn w:val="979"/>
    <w:next w:val="979"/>
    <w:uiPriority w:val="39"/>
    <w:unhideWhenUsed/>
    <w:pPr>
      <w:pBdr/>
      <w:spacing w:after="57"/>
      <w:ind w:right="0" w:firstLine="0" w:left="850"/>
    </w:pPr>
  </w:style>
  <w:style w:type="paragraph" w:styleId="972">
    <w:name w:val="toc 5"/>
    <w:basedOn w:val="979"/>
    <w:next w:val="979"/>
    <w:uiPriority w:val="39"/>
    <w:unhideWhenUsed/>
    <w:pPr>
      <w:pBdr/>
      <w:spacing w:after="57"/>
      <w:ind w:right="0" w:firstLine="0" w:left="1134"/>
    </w:pPr>
  </w:style>
  <w:style w:type="paragraph" w:styleId="973">
    <w:name w:val="toc 6"/>
    <w:basedOn w:val="979"/>
    <w:next w:val="979"/>
    <w:uiPriority w:val="39"/>
    <w:unhideWhenUsed/>
    <w:pPr>
      <w:pBdr/>
      <w:spacing w:after="57"/>
      <w:ind w:right="0" w:firstLine="0" w:left="1417"/>
    </w:pPr>
  </w:style>
  <w:style w:type="paragraph" w:styleId="974">
    <w:name w:val="toc 7"/>
    <w:basedOn w:val="979"/>
    <w:next w:val="979"/>
    <w:uiPriority w:val="39"/>
    <w:unhideWhenUsed/>
    <w:pPr>
      <w:pBdr/>
      <w:spacing w:after="57"/>
      <w:ind w:right="0" w:firstLine="0" w:left="1701"/>
    </w:pPr>
  </w:style>
  <w:style w:type="paragraph" w:styleId="975">
    <w:name w:val="toc 8"/>
    <w:basedOn w:val="979"/>
    <w:next w:val="979"/>
    <w:uiPriority w:val="39"/>
    <w:unhideWhenUsed/>
    <w:pPr>
      <w:pBdr/>
      <w:spacing w:after="57"/>
      <w:ind w:right="0" w:firstLine="0" w:left="1984"/>
    </w:pPr>
  </w:style>
  <w:style w:type="paragraph" w:styleId="976">
    <w:name w:val="toc 9"/>
    <w:basedOn w:val="979"/>
    <w:next w:val="979"/>
    <w:uiPriority w:val="39"/>
    <w:unhideWhenUsed/>
    <w:pPr>
      <w:pBdr/>
      <w:spacing w:after="57"/>
      <w:ind w:right="0" w:firstLine="0" w:left="2268"/>
    </w:pPr>
  </w:style>
  <w:style w:type="paragraph" w:styleId="977">
    <w:name w:val="TOC Heading"/>
    <w:uiPriority w:val="39"/>
    <w:unhideWhenUsed/>
    <w:pPr>
      <w:pBdr/>
      <w:spacing/>
      <w:ind/>
    </w:pPr>
  </w:style>
  <w:style w:type="paragraph" w:styleId="978">
    <w:name w:val="table of figures"/>
    <w:basedOn w:val="979"/>
    <w:next w:val="979"/>
    <w:uiPriority w:val="99"/>
    <w:unhideWhenUsed/>
    <w:pPr>
      <w:pBdr/>
      <w:spacing w:after="0" w:afterAutospacing="0"/>
      <w:ind/>
    </w:pPr>
  </w:style>
  <w:style w:type="paragraph" w:styleId="979" w:default="1">
    <w:name w:val="Normal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character" w:styleId="98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81" w:customStyle="1">
    <w:name w:val="Encabezado Car"/>
    <w:basedOn w:val="980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982" w:customStyle="1">
    <w:name w:val="Pie de página Car"/>
    <w:basedOn w:val="980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983">
    <w:name w:val="Internet Link"/>
    <w:uiPriority w:val="99"/>
    <w:unhideWhenUsed/>
    <w:pPr>
      <w:pBdr/>
      <w:spacing/>
      <w:ind/>
    </w:pPr>
    <w:rPr>
      <w:color w:val="0563c1"/>
      <w:u w:val="single"/>
    </w:rPr>
  </w:style>
  <w:style w:type="character" w:styleId="984" w:customStyle="1">
    <w:name w:val="Título Car"/>
    <w:qFormat/>
    <w:pPr>
      <w:pBdr/>
      <w:spacing/>
      <w:ind/>
    </w:pPr>
    <w:rPr>
      <w:rFonts w:ascii="Arial" w:hAnsi="Arial" w:eastAsia="Times New Roman"/>
      <w:b/>
      <w:sz w:val="24"/>
      <w:lang w:val="es-MX" w:eastAsia="es-MX"/>
    </w:rPr>
  </w:style>
  <w:style w:type="character" w:styleId="985" w:customStyle="1">
    <w:name w:val="Puesto Car"/>
    <w:uiPriority w:val="10"/>
    <w:qFormat/>
    <w:pPr>
      <w:pBdr/>
      <w:spacing/>
      <w:ind/>
    </w:pPr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986" w:customStyle="1">
    <w:name w:val="Título Car1"/>
    <w:basedOn w:val="980"/>
    <w:uiPriority w:val="10"/>
    <w:qFormat/>
    <w:pPr>
      <w:pBdr/>
      <w:spacing/>
      <w:ind/>
    </w:pPr>
    <w:rPr>
      <w:rFonts w:ascii="Cambria" w:hAnsi="Cambria" w:asciiTheme="majorHAnsi" w:hAnsiTheme="majorHAnsi" w:eastAsiaTheme="majorEastAsia" w:cstheme="majorBidi"/>
      <w:color w:val="17365d" w:themeColor="text2" w:themeShade="BF"/>
      <w:spacing w:val="5"/>
      <w:sz w:val="52"/>
      <w:szCs w:val="52"/>
      <w:lang w:val="es-MX" w:eastAsia="es-MX"/>
    </w:rPr>
  </w:style>
  <w:style w:type="character" w:styleId="987" w:customStyle="1">
    <w:name w:val="Texto de globo Car"/>
    <w:basedOn w:val="980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val="es-MX" w:eastAsia="es-MX"/>
    </w:rPr>
  </w:style>
  <w:style w:type="character" w:styleId="988" w:customStyle="1">
    <w:name w:val="Texto independiente Car"/>
    <w:basedOn w:val="980"/>
    <w:qFormat/>
    <w:pPr>
      <w:pBdr/>
      <w:spacing/>
      <w:ind/>
    </w:pPr>
    <w:rPr>
      <w:rFonts w:ascii="Arial" w:hAnsi="Arial" w:eastAsia="Times New Roman" w:cs="Times New Roman"/>
      <w:sz w:val="16"/>
      <w:szCs w:val="20"/>
      <w:lang w:eastAsia="es-ES"/>
    </w:rPr>
  </w:style>
  <w:style w:type="paragraph" w:styleId="989">
    <w:name w:val="Heading"/>
    <w:basedOn w:val="979"/>
    <w:next w:val="990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90">
    <w:name w:val="Body Text"/>
    <w:basedOn w:val="979"/>
    <w:link w:val="988"/>
    <w:pPr>
      <w:pBdr/>
      <w:spacing/>
      <w:ind/>
      <w:jc w:val="both"/>
    </w:pPr>
    <w:rPr>
      <w:rFonts w:ascii="Arial" w:hAnsi="Arial"/>
      <w:sz w:val="16"/>
      <w:szCs w:val="20"/>
      <w:lang w:val="es-CO" w:eastAsia="es-ES"/>
    </w:rPr>
  </w:style>
  <w:style w:type="paragraph" w:styleId="991">
    <w:name w:val="List"/>
    <w:basedOn w:val="990"/>
    <w:pPr>
      <w:pBdr/>
      <w:spacing/>
      <w:ind/>
    </w:pPr>
    <w:rPr>
      <w:rFonts w:cs="Arial Unicode MS"/>
    </w:rPr>
  </w:style>
  <w:style w:type="paragraph" w:styleId="992">
    <w:name w:val="Caption"/>
    <w:basedOn w:val="979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93">
    <w:name w:val="Index"/>
    <w:basedOn w:val="979"/>
    <w:qFormat/>
    <w:pPr>
      <w:suppressLineNumbers w:val="true"/>
      <w:pBdr/>
      <w:spacing/>
      <w:ind/>
    </w:pPr>
    <w:rPr>
      <w:rFonts w:cs="Arial Unicode MS"/>
    </w:rPr>
  </w:style>
  <w:style w:type="paragraph" w:styleId="994">
    <w:name w:val="Header"/>
    <w:basedOn w:val="979"/>
    <w:link w:val="981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95">
    <w:name w:val="Footer"/>
    <w:basedOn w:val="979"/>
    <w:link w:val="982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96">
    <w:name w:val="List Paragraph"/>
    <w:basedOn w:val="979"/>
    <w:uiPriority w:val="34"/>
    <w:qFormat/>
    <w:pPr>
      <w:pBdr/>
      <w:spacing/>
      <w:ind w:firstLine="0" w:left="708"/>
    </w:pPr>
  </w:style>
  <w:style w:type="paragraph" w:styleId="997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Calibri" w:hAnsi="Calibri" w:eastAsia="Calibri" w:cs="Times New Roman" w:asciiTheme="minorHAnsi" w:hAnsiTheme="minorHAnsi" w:eastAsiaTheme="minorHAnsi"/>
      <w:color w:val="auto"/>
      <w:sz w:val="24"/>
      <w:szCs w:val="22"/>
      <w:lang w:val="es-ES" w:eastAsia="en-US" w:bidi="ar-SA"/>
    </w:rPr>
  </w:style>
  <w:style w:type="paragraph" w:styleId="998">
    <w:name w:val="Normal (Web)"/>
    <w:basedOn w:val="979"/>
    <w:uiPriority w:val="99"/>
    <w:unhideWhenUsed/>
    <w:qFormat/>
    <w:pPr>
      <w:pBdr/>
      <w:spacing w:afterAutospacing="1" w:beforeAutospacing="1"/>
      <w:ind/>
    </w:pPr>
    <w:rPr>
      <w:lang w:val="es-CO" w:eastAsia="es-CO"/>
    </w:rPr>
  </w:style>
  <w:style w:type="paragraph" w:styleId="999">
    <w:name w:val="Title"/>
    <w:basedOn w:val="979"/>
    <w:next w:val="979"/>
    <w:link w:val="985"/>
    <w:uiPriority w:val="10"/>
    <w:qFormat/>
    <w:pPr>
      <w:pBdr>
        <w:bottom w:val="single" w:color="4f81bd" w:sz="8" w:space="4"/>
      </w:pBdr>
      <w:spacing w:after="300" w:before="0"/>
      <w:ind/>
      <w:contextualSpacing w:val="true"/>
    </w:pPr>
    <w:rPr>
      <w:rFonts w:ascii="Calibri Light" w:hAnsi="Calibri Light"/>
      <w:b/>
      <w:bCs/>
      <w:sz w:val="32"/>
      <w:szCs w:val="32"/>
    </w:rPr>
  </w:style>
  <w:style w:type="paragraph" w:styleId="1000">
    <w:name w:val="Balloon Text"/>
    <w:basedOn w:val="979"/>
    <w:link w:val="987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numbering" w:styleId="1001" w:default="1">
    <w:name w:val="No List"/>
    <w:uiPriority w:val="99"/>
    <w:semiHidden/>
    <w:unhideWhenUsed/>
    <w:qFormat/>
    <w:pPr>
      <w:pBdr/>
      <w:spacing/>
      <w:ind/>
    </w:pPr>
  </w:style>
  <w:style w:type="table" w:styleId="10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Table Grid"/>
    <w:basedOn w:val="10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8731-01A9-F942-B089-2892B601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ALARCON</dc:creator>
  <dc:description/>
  <dc:language>es-CO</dc:language>
  <cp:revision>84</cp:revision>
  <dcterms:created xsi:type="dcterms:W3CDTF">2018-09-20T23:01:00Z</dcterms:created>
  <dcterms:modified xsi:type="dcterms:W3CDTF">2024-12-02T16:49:06Z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