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EL DIRECTOR TÉCNICO DE COBRO COACTIVO DEL DEPARTAMENTO DE CASANARE</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tabs>
          <w:tab w:val="clear" w:pos="708"/>
          <w:tab w:val="left" w:pos="2970" w:leader="none"/>
        </w:tabs>
        <w:jc w:val="both"/>
        <w:rPr>
          <w:rFonts w:ascii="Arial" w:hAnsi="Arial" w:cs="Arial"/>
          <w:sz w:val="22"/>
          <w:szCs w:val="22"/>
        </w:rPr>
      </w:pPr>
      <w:r>
        <w:rPr>
          <w:rFonts w:cs="Arial" w:ascii="Arial" w:hAnsi="Arial"/>
          <w:sz w:val="22"/>
          <w:szCs w:val="22"/>
        </w:rPr>
        <w:t>En ejercicio de sus facultades legales, especialmente las conferidas mediante Decreto 0323 del 01 de noviembre de 2019, Decreto 016 del 1 de enero de 2020, y</w:t>
      </w:r>
    </w:p>
    <w:p>
      <w:pPr>
        <w:pStyle w:val="Normal"/>
        <w:widowControl w:val="false"/>
        <w:tabs>
          <w:tab w:val="clear" w:pos="708"/>
          <w:tab w:val="center" w:pos="4419" w:leader="none"/>
          <w:tab w:val="left" w:pos="6794" w:leader="none"/>
        </w:tabs>
        <w:jc w:val="both"/>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jc w:val="center"/>
        <w:outlineLvl w:val="0"/>
        <w:rPr>
          <w:rFonts w:ascii="Arial" w:hAnsi="Arial" w:cs="Arial"/>
          <w:sz w:val="22"/>
          <w:szCs w:val="22"/>
        </w:rPr>
      </w:pPr>
      <w:r>
        <w:rPr>
          <w:rFonts w:cs="Arial" w:ascii="Arial" w:hAnsi="Arial"/>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pPr>
      <w:r>
        <w:rPr>
          <w:rFonts w:cs="Arial" w:ascii="Arial" w:hAnsi="Arial"/>
          <w:sz w:val="22"/>
          <w:szCs w:val="22"/>
        </w:rPr>
        <w:t xml:space="preserve">Que en la Dirección de Cobro Coactivo se adelanta proceso coactivo No. </w:t>
      </w:r>
      <w:r>
        <w:rPr>
          <w:rFonts w:cs="Arial" w:ascii="Arial" w:hAnsi="Arial"/>
          <w:color w:val="000000" w:themeColor="text1"/>
          <w:sz w:val="22"/>
          <w:szCs w:val="22"/>
        </w:rPr>
        <w:t>${numeroexpedientecobro}</w:t>
      </w:r>
      <w:r>
        <w:rPr>
          <w:rFonts w:cs="Arial" w:ascii="Arial" w:hAnsi="Arial"/>
          <w:sz w:val="22"/>
          <w:szCs w:val="22"/>
        </w:rPr>
        <w:t xml:space="preserve">, en contra de ${propietariovehiculo} identificado (a) con ${titpropietariovehiculo} No. ${nipropietariovehiculo}, por concepto del no pago de impuesto sobre el vehículo automotor marca </w:t>
      </w:r>
      <w:r>
        <w:rPr>
          <w:rFonts w:cs="Arial" w:ascii="Arial" w:hAnsi="Arial"/>
          <w:color w:val="000000" w:themeColor="text1"/>
          <w:sz w:val="22"/>
          <w:szCs w:val="22"/>
        </w:rPr>
        <w:t>${marcavehiculo}</w:t>
      </w:r>
      <w:r>
        <w:rPr>
          <w:rFonts w:cs="Arial" w:ascii="Arial" w:hAnsi="Arial"/>
          <w:sz w:val="22"/>
          <w:szCs w:val="22"/>
        </w:rPr>
        <w:t xml:space="preserve">, modelo </w:t>
      </w:r>
      <w:r>
        <w:rPr>
          <w:rFonts w:cs="Arial" w:ascii="Arial" w:hAnsi="Arial"/>
          <w:color w:val="000000" w:themeColor="text1"/>
          <w:sz w:val="22"/>
          <w:szCs w:val="22"/>
        </w:rPr>
        <w:t>${modelovehiculo}</w:t>
      </w:r>
      <w:r>
        <w:rPr>
          <w:rFonts w:cs="Arial" w:ascii="Arial" w:hAnsi="Arial"/>
          <w:sz w:val="22"/>
          <w:szCs w:val="22"/>
        </w:rPr>
        <w:t xml:space="preserve">, placa </w:t>
      </w:r>
      <w:r>
        <w:rPr>
          <w:rFonts w:cs="Arial" w:ascii="Arial" w:hAnsi="Arial"/>
          <w:color w:val="000000" w:themeColor="text1"/>
          <w:sz w:val="22"/>
          <w:szCs w:val="22"/>
        </w:rPr>
        <w:t>${placavehiculo}</w:t>
      </w:r>
      <w:r>
        <w:rPr>
          <w:rFonts w:cs="Arial" w:ascii="Arial" w:hAnsi="Arial"/>
          <w:sz w:val="22"/>
          <w:szCs w:val="22"/>
        </w:rPr>
        <w:t>, correspondiente a las vigencias $</w:t>
      </w:r>
      <w:r>
        <w:rPr>
          <w:rFonts w:cs="Arial" w:ascii="Arial" w:hAnsi="Arial"/>
          <w:color w:val="000000" w:themeColor="text1"/>
          <w:sz w:val="22"/>
          <w:szCs w:val="22"/>
        </w:rPr>
        <w:t>{vigenciacobro</w:t>
      </w:r>
      <w:r>
        <w:rPr>
          <w:rFonts w:cs="Arial" w:ascii="Arial" w:hAnsi="Arial"/>
          <w:color w:val="000000" w:themeColor="text1"/>
          <w:sz w:val="22"/>
          <w:szCs w:val="22"/>
        </w:rPr>
        <w:t>total</w:t>
      </w:r>
      <w:r>
        <w:rPr>
          <w:rFonts w:cs="Arial" w:ascii="Arial" w:hAnsi="Arial"/>
          <w:color w:val="000000" w:themeColor="text1"/>
          <w:sz w:val="22"/>
          <w:szCs w:val="22"/>
        </w:rPr>
        <w:t>}</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pPr>
      <w:r>
        <w:rPr>
          <w:rFonts w:cs="Arial" w:ascii="Arial" w:hAnsi="Arial"/>
          <w:sz w:val="22"/>
          <w:szCs w:val="22"/>
        </w:rPr>
        <w:t>Que, en el marco del proceso administrativo de cobro coactivo antes referido, se libró el auto de mandamiento de pago No. ${numeromandamientopago} de fecha ${fechamandamientopagodn} de ${fechamandamientopagomc} de ${fechamandamientopagoan}, a favor del Departamento de Casanare y en contra de ${propietariovehiculo} identificado (a) con ${titpropietariovehiculo} No. ${nipropietariovehiculo}.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pPr>
      <w:r>
        <w:rPr>
          <w:rFonts w:cs="Arial" w:ascii="Arial" w:hAnsi="Arial"/>
          <w:sz w:val="22"/>
          <w:szCs w:val="22"/>
        </w:rPr>
        <w:t xml:space="preserve">Que de acuerdo a la liquidación de impuesto sobre vehículos automotores de fecha </w:t>
      </w:r>
      <w:r>
        <w:rPr>
          <w:rFonts w:cs="Arial" w:ascii="Arial" w:hAnsi="Arial"/>
          <w:color w:val="000000" w:themeColor="text1"/>
          <w:sz w:val="22"/>
          <w:szCs w:val="22"/>
        </w:rPr>
        <w:t>${fecharesolucioncautelarbancodn} de ${fecharesolucioncautelarbancomc} de ${fecharesolucioncautelarbancoan}</w:t>
      </w:r>
      <w:r>
        <w:rPr>
          <w:rFonts w:cs="Arial" w:ascii="Arial" w:hAnsi="Arial"/>
          <w:sz w:val="22"/>
          <w:szCs w:val="22"/>
        </w:rPr>
        <w:t>, a la fecha, la deuda asciende al valor de ${valor</w:t>
      </w:r>
      <w:r>
        <w:rPr>
          <w:rFonts w:cs="Arial" w:ascii="Arial" w:hAnsi="Arial"/>
          <w:color w:val="000000" w:themeColor="text1"/>
          <w:sz w:val="22"/>
          <w:szCs w:val="22"/>
        </w:rPr>
        <w:t>embargo</w:t>
      </w:r>
      <w:r>
        <w:rPr>
          <w:rFonts w:cs="Arial" w:ascii="Arial" w:hAnsi="Arial"/>
          <w:sz w:val="22"/>
          <w:szCs w:val="22"/>
        </w:rPr>
        <w:t>t} ($${valor</w:t>
      </w:r>
      <w:r>
        <w:rPr>
          <w:rFonts w:cs="Arial" w:ascii="Arial" w:hAnsi="Arial"/>
          <w:color w:val="000000" w:themeColor="text1"/>
          <w:sz w:val="22"/>
          <w:szCs w:val="22"/>
        </w:rPr>
        <w:t>embargo</w:t>
      </w:r>
      <w:r>
        <w:rPr>
          <w:rFonts w:cs="Arial" w:ascii="Arial" w:hAnsi="Arial"/>
          <w:sz w:val="22"/>
          <w:szCs w:val="22"/>
        </w:rPr>
        <w:t>})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Que tal y como lo señala el artículo 623 del Estatuto Tributario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jc w:val="both"/>
        <w:outlineLvl w:val="0"/>
        <w:rPr>
          <w:rFonts w:ascii="Arial" w:hAnsi="Arial" w:cs="Arial"/>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jc w:val="center"/>
        <w:outlineLvl w:val="0"/>
        <w:rPr>
          <w:rFonts w:ascii="Arial" w:hAnsi="Arial" w:cs="Arial"/>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pPr>
      <w:r>
        <w:rPr>
          <w:rFonts w:cs="Arial" w:ascii="Arial" w:hAnsi="Arial"/>
          <w:sz w:val="22"/>
          <w:szCs w:val="22"/>
        </w:rPr>
        <w:t xml:space="preserve">ARTÍCULO 1: Ordenar el embargo y retención de los dineros, remanentes y demás títulos valores, depositados o que se llegaren a depositar en las cuentas a nombre de ${propietariovehiculo} identificado (a) con ${titpropietariovehiculo} No. ${nipropietariovehiculo},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pPr>
      <w:r>
        <w:rPr>
          <w:rFonts w:cs="Arial" w:ascii="Arial" w:hAnsi="Arial"/>
          <w:sz w:val="22"/>
          <w:szCs w:val="22"/>
        </w:rPr>
        <w:t>ARTÍCULO 2: Fijar el límite de embargo a la suma de ${valorembargodoblet} ($${</w:t>
      </w:r>
      <w:bookmarkStart w:id="0" w:name="__DdeLink__16653_4080002002"/>
      <w:r>
        <w:rPr>
          <w:rFonts w:cs="Arial" w:ascii="Arial" w:hAnsi="Arial"/>
          <w:sz w:val="22"/>
          <w:szCs w:val="22"/>
        </w:rPr>
        <w:t>valorembargodoble</w:t>
      </w:r>
      <w:bookmarkEnd w:id="0"/>
      <w:r>
        <w:rPr>
          <w:rFonts w:cs="Arial" w:ascii="Arial" w:hAnsi="Arial"/>
          <w:sz w:val="22"/>
          <w:szCs w:val="22"/>
        </w:rPr>
        <w:t>}) M/CTE., de conformidad con lo estipulado en el artículo 838 del Estatuto Tributario Nacional, en concordancia con el Artículo 647 del Estatuto Tributario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647 del Estatuto Tributario del Departamento de Casanare. Cabe advertir a las entidades financieras, que están en el deber de consignar las sumas retenidas en la cuenta de depósitos judiciales de la Gobernación de Casanare, el día siguiente al recibo de la comunicación de conformidad con el literal 6 del Artículo 647 ibidem; con la recepción del oficio queda perfeccionado el embargo.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ARTÍCULO 4: Los dineros que superen el monto a embargar serán devueltos por la entidad, conforme al parágrafo del artículo 647 del Estatuto Tributario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ARTÍCULO 5: Una vez se encuentre en firme la medida cautelar ordenada comunicar al contribuyente, de acuerdo a lo estipulado en el parágrafo 1 del artículo 565 del Estatuto Tributario Nacional.</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ARTÍCULO 6: La presente Resolución rige a partir de la fecha de su expedición.</w:t>
      </w:r>
    </w:p>
    <w:p>
      <w:pPr>
        <w:pStyle w:val="Normal"/>
        <w:jc w:val="both"/>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r>
    </w:p>
    <w:p>
      <w:pPr>
        <w:pStyle w:val="Normal"/>
        <w:jc w:val="center"/>
        <w:rPr>
          <w:rFonts w:ascii="Arial" w:hAnsi="Arial" w:cs="Arial"/>
          <w:color w:val="000000" w:themeColor="text1"/>
          <w:sz w:val="22"/>
          <w:szCs w:val="22"/>
        </w:rPr>
      </w:pPr>
      <w:r>
        <w:rPr>
          <w:rFonts w:cs="Arial" w:ascii="Arial" w:hAnsi="Arial"/>
          <w:color w:val="000000" w:themeColor="text1"/>
          <w:sz w:val="22"/>
          <w:szCs w:val="22"/>
        </w:rPr>
        <w:t>NÉSTOR JOSÉ RINCÓN CONTRERAS</w:t>
      </w:r>
    </w:p>
    <w:p>
      <w:pPr>
        <w:pStyle w:val="Normal"/>
        <w:jc w:val="center"/>
        <w:rPr>
          <w:rFonts w:ascii="Arial" w:hAnsi="Arial" w:cs="Arial"/>
          <w:color w:val="000000" w:themeColor="text1"/>
          <w:sz w:val="22"/>
          <w:szCs w:val="22"/>
        </w:rPr>
      </w:pPr>
      <w:r>
        <w:rPr>
          <w:rFonts w:cs="Arial" w:ascii="Arial" w:hAnsi="Arial"/>
          <w:color w:val="000000" w:themeColor="text1"/>
          <w:sz w:val="22"/>
          <w:szCs w:val="22"/>
        </w:rPr>
        <w:t>Director Técnico de Cobro Coactivo</w:t>
      </w:r>
    </w:p>
    <w:p>
      <w:pPr>
        <w:pStyle w:val="Normal"/>
        <w:jc w:val="both"/>
        <w:rPr>
          <w:rFonts w:ascii="Arial" w:hAnsi="Arial" w:cs="Arial"/>
          <w:color w:val="000000" w:themeColor="text1"/>
          <w:sz w:val="18"/>
          <w:szCs w:val="18"/>
        </w:rPr>
      </w:pPr>
      <w:r>
        <w:rPr>
          <w:rFonts w:cs="Arial" w:ascii="Arial" w:hAnsi="Arial"/>
          <w:color w:val="000000" w:themeColor="text1"/>
          <w:sz w:val="18"/>
          <w:szCs w:val="18"/>
        </w:rPr>
      </w:r>
    </w:p>
    <w:p>
      <w:pPr>
        <w:pStyle w:val="Normal"/>
        <w:widowControl w:val="false"/>
        <w:rPr>
          <w:rFonts w:ascii="Arial" w:hAnsi="Arial" w:cs="Arial"/>
          <w:sz w:val="18"/>
          <w:szCs w:val="18"/>
          <w:lang w:val="es-ES"/>
        </w:rPr>
      </w:pPr>
      <w:r>
        <w:rPr>
          <w:rFonts w:cs="Arial" w:ascii="Arial" w:hAnsi="Arial"/>
          <w:sz w:val="18"/>
          <w:szCs w:val="18"/>
          <w:lang w:val="es-ES"/>
        </w:rPr>
      </w:r>
    </w:p>
    <w:p>
      <w:pPr>
        <w:pStyle w:val="Normal"/>
        <w:widowControl w:val="false"/>
        <w:rPr>
          <w:rFonts w:ascii="Arial" w:hAnsi="Arial" w:cs="Arial"/>
          <w:sz w:val="18"/>
          <w:szCs w:val="18"/>
          <w:lang w:val="es-ES"/>
        </w:rPr>
      </w:pPr>
      <w:r>
        <w:rPr>
          <w:rFonts w:cs="Arial" w:ascii="Arial" w:hAnsi="Arial"/>
          <w:sz w:val="18"/>
          <w:szCs w:val="18"/>
          <w:lang w:val="es-ES"/>
        </w:rPr>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t xml:space="preserve">Revisó: Donaldo Cedeño Diaz </w:t>
      </w:r>
    </w:p>
    <w:p>
      <w:pPr>
        <w:pStyle w:val="Normal"/>
        <w:widowControl w:val="false"/>
        <w:jc w:val="both"/>
        <w:rPr>
          <w:rFonts w:ascii="Arial" w:hAnsi="Arial" w:cs="Arial"/>
          <w:sz w:val="18"/>
          <w:szCs w:val="18"/>
        </w:rPr>
      </w:pPr>
      <w:r>
        <w:rPr>
          <w:rFonts w:cs="Arial" w:ascii="Arial" w:hAnsi="Arial"/>
          <w:sz w:val="18"/>
          <w:szCs w:val="18"/>
        </w:rPr>
        <w:t>CPS No. 649 de 2021</w:t>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18"/>
          <w:szCs w:val="18"/>
        </w:rPr>
      </w:r>
    </w:p>
    <w:p>
      <w:pPr>
        <w:pStyle w:val="Normal"/>
        <w:widowControl w:val="false"/>
        <w:jc w:val="both"/>
        <w:rPr>
          <w:rFonts w:ascii="Arial" w:hAnsi="Arial" w:cs="Arial"/>
          <w:sz w:val="18"/>
          <w:szCs w:val="18"/>
        </w:rPr>
      </w:pPr>
      <w:r>
        <w:rPr>
          <w:rFonts w:cs="Arial" w:ascii="Arial" w:hAnsi="Arial"/>
          <w:sz w:val="20"/>
          <w:szCs w:val="20"/>
          <w:lang w:val="es-ES"/>
        </w:rPr>
        <w:t>${proyectodocumento}</w:t>
      </w:r>
    </w:p>
    <w:p>
      <w:pPr>
        <w:pStyle w:val="Normal"/>
        <w:widowControl w:val="false"/>
        <w:jc w:val="both"/>
        <w:rPr>
          <w:rFonts w:ascii="Arial" w:hAnsi="Arial" w:cs="Arial"/>
          <w:sz w:val="18"/>
          <w:szCs w:val="18"/>
        </w:rPr>
      </w:pPr>
      <w:r>
        <w:rPr>
          <w:rFonts w:cs="Arial" w:ascii="Arial" w:hAnsi="Arial"/>
          <w:sz w:val="20"/>
          <w:szCs w:val="20"/>
          <w:lang w:val="es-ES"/>
        </w:rPr>
        <w:t>${cargoproyectodocumento}</w:t>
      </w:r>
    </w:p>
    <w:p>
      <w:pPr>
        <w:pStyle w:val="Normal"/>
        <w:widowControl w:val="false"/>
        <w:jc w:val="both"/>
        <w:rPr/>
      </w:pPr>
      <w:r>
        <w:rPr/>
      </w:r>
    </w:p>
    <w:sectPr>
      <w:headerReference w:type="default" r:id="rId2"/>
      <w:footerReference w:type="default" r:id="rId3"/>
      <w:type w:val="nextPage"/>
      <w:pgSz w:w="12240" w:h="15840"/>
      <w:pgMar w:left="1701" w:right="1418" w:header="567" w:top="1247" w:footer="567" w:bottom="124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center"/>
      <w:tblInd w:w="0" w:type="dxa"/>
      <w:tblCellMar>
        <w:top w:w="72" w:type="dxa"/>
        <w:left w:w="115" w:type="dxa"/>
        <w:bottom w:w="72" w:type="dxa"/>
        <w:right w:w="115" w:type="dxa"/>
      </w:tblCellMar>
      <w:tblLook w:val="04a0" w:noVBand="1" w:noHBand="0" w:lastColumn="0" w:firstColumn="1" w:lastRow="0" w:firstRow="1"/>
    </w:tblPr>
    <w:tblGrid>
      <w:gridCol w:w="7958"/>
      <w:gridCol w:w="1162"/>
    </w:tblGrid>
    <w:tr>
      <w:trPr/>
      <w:tc>
        <w:tcPr>
          <w:tcW w:w="7958" w:type="dxa"/>
          <w:tcBorders>
            <w:top w:val="single" w:sz="4" w:space="0" w:color="000000"/>
          </w:tcBorders>
          <w:shd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PAGE </w:instrText>
          </w:r>
          <w:r>
            <w:rPr>
              <w:sz w:val="16"/>
              <w:i/>
              <w:szCs w:val="16"/>
              <w:rFonts w:cs="Arial" w:ascii="Arial" w:hAnsi="Arial"/>
            </w:rPr>
            <w:fldChar w:fldCharType="separate"/>
          </w:r>
          <w:r>
            <w:rPr>
              <w:sz w:val="16"/>
              <w:i/>
              <w:szCs w:val="16"/>
              <w:rFonts w:cs="Arial" w:ascii="Arial" w:hAnsi="Arial"/>
            </w:rPr>
            <w:t>3</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NUMPAGES </w:instrText>
          </w:r>
          <w:r>
            <w:rPr>
              <w:sz w:val="16"/>
              <w:i/>
              <w:szCs w:val="16"/>
              <w:rFonts w:cs="Arial" w:ascii="Arial" w:hAnsi="Arial"/>
            </w:rPr>
            <w:fldChar w:fldCharType="separate"/>
          </w:r>
          <w:r>
            <w:rPr>
              <w:sz w:val="16"/>
              <w:i/>
              <w:szCs w:val="16"/>
              <w:rFonts w:cs="Arial" w:ascii="Arial" w:hAnsi="Arial"/>
            </w:rPr>
            <w:t>3</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201" w:type="dxa"/>
      <w:jc w:val="center"/>
      <w:tblInd w:w="0" w:type="dxa"/>
      <w:tblCellMar>
        <w:top w:w="0" w:type="dxa"/>
        <w:left w:w="108" w:type="dxa"/>
        <w:bottom w:w="0" w:type="dxa"/>
        <w:right w:w="108" w:type="dxa"/>
      </w:tblCellMar>
      <w:tblLook w:val="04a0" w:noVBand="1" w:noHBand="0" w:lastColumn="0" w:firstColumn="1" w:lastRow="0" w:firstRow="1"/>
    </w:tblPr>
    <w:tblGrid>
      <w:gridCol w:w="4611"/>
      <w:gridCol w:w="589"/>
    </w:tblGrid>
    <w:tr>
      <w:trPr>
        <w:trHeight w:val="752" w:hRule="atLeast"/>
      </w:trPr>
      <w:tc>
        <w:tcPr>
          <w:tcW w:w="4611" w:type="dxa"/>
          <w:tcBorders/>
          <w:shd w:fill="auto" w:val="clear"/>
          <w:vAlign w:val="center"/>
        </w:tcPr>
        <w:p>
          <w:pPr>
            <w:pStyle w:val="Header"/>
            <w:jc w:val="center"/>
            <w:rPr/>
          </w:pPr>
          <w:r>
            <w:rPr/>
            <w:drawing>
              <wp:inline distT="0" distB="0" distL="0" distR="0">
                <wp:extent cx="969010" cy="101854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969010" cy="1018540"/>
                        </a:xfrm>
                        <a:prstGeom prst="rect">
                          <a:avLst/>
                        </a:prstGeom>
                      </pic:spPr>
                    </pic:pic>
                  </a:graphicData>
                </a:graphic>
              </wp:inline>
            </w:drawing>
          </w:r>
        </w:p>
      </w:tc>
      <w:tc>
        <w:tcPr>
          <w:tcW w:w="589" w:type="dxa"/>
          <w:tcBorders/>
          <w:shd w:fill="auto" w:val="clear"/>
        </w:tcPr>
        <w:p>
          <w:pPr>
            <w:pStyle w:val="Normal"/>
            <w:rPr/>
          </w:pPr>
          <w:r>
            <w:rPr/>
          </w:r>
        </w:p>
      </w:tc>
    </w:tr>
    <w:tr>
      <w:trPr>
        <w:trHeight w:val="324" w:hRule="atLeast"/>
      </w:trPr>
      <w:tc>
        <w:tcPr>
          <w:tcW w:w="5200" w:type="dxa"/>
          <w:gridSpan w:val="2"/>
          <w:tcBorders/>
          <w:shd w:fill="auto" w:val="clear"/>
          <w:vAlign w:val="center"/>
        </w:tcPr>
        <w:p>
          <w:pPr>
            <w:pStyle w:val="Header"/>
            <w:rPr>
              <w:rFonts w:ascii="Arial" w:hAnsi="Arial" w:cs="Arial"/>
              <w:sz w:val="20"/>
              <w:szCs w:val="20"/>
            </w:rPr>
          </w:pPr>
          <w:r>
            <w:rPr>
              <w:rFonts w:cs="Arial" w:ascii="Arial" w:hAnsi="Arial"/>
              <w:sz w:val="20"/>
              <w:szCs w:val="20"/>
            </w:rPr>
            <w:t xml:space="preserve">                                   </w:t>
          </w:r>
        </w:p>
        <w:p>
          <w:pPr>
            <w:pStyle w:val="Normal"/>
            <w:widowControl w:val="false"/>
            <w:jc w:val="center"/>
            <w:rPr>
              <w:rFonts w:ascii="Arial" w:hAnsi="Arial" w:cs="Arial"/>
              <w:sz w:val="22"/>
              <w:szCs w:val="22"/>
            </w:rPr>
          </w:pPr>
          <w:r>
            <w:rPr>
              <w:rFonts w:cs="Arial" w:ascii="Arial" w:hAnsi="Arial"/>
              <w:sz w:val="22"/>
              <w:szCs w:val="22"/>
            </w:rPr>
            <w:t>RESOLUCIÓN No.                  DE 2021</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p>
          <w:pPr>
            <w:pStyle w:val="Header"/>
            <w:jc w:val="center"/>
            <w:rPr>
              <w:rFonts w:ascii="Arial" w:hAnsi="Arial" w:cs="Arial"/>
              <w:sz w:val="20"/>
              <w:szCs w:val="20"/>
            </w:rPr>
          </w:pPr>
          <w:r>
            <w:rPr>
              <w:rFonts w:cs="Arial" w:ascii="Arial" w:hAnsi="Arial"/>
              <w:sz w:val="20"/>
              <w:szCs w:val="20"/>
            </w:rPr>
          </w:r>
        </w:p>
      </w:tc>
    </w:tr>
  </w:tbl>
  <w:p>
    <w:pPr>
      <w:pStyle w:val="Normal"/>
      <w:widowControl w:val="false"/>
      <w:rPr>
        <w:rFonts w:ascii="Arial" w:hAnsi="Arial" w:cs="Arial"/>
        <w:sz w:val="20"/>
        <w:szCs w:val="20"/>
      </w:rPr>
    </w:pPr>
    <w:r>
      <w:rPr>
        <w:rFonts w:cs="Arial" w:ascii="Arial" w:hAnsi="Arial"/>
        <w:sz w:val="20"/>
        <w:szCs w:val="20"/>
      </w:rPr>
      <w:t>350 200 - 20</w:t>
    </w:r>
  </w:p>
  <w:p>
    <w:pPr>
      <w:pStyle w:val="Header"/>
      <w:rPr/>
    </w:pPr>
    <w:r>
      <w:rPr/>
    </w:r>
  </w:p>
</w:hdr>
</file>

<file path=word/settings.xml><?xml version="1.0" encoding="utf-8"?>
<w:settings xmlns:w="http://schemas.openxmlformats.org/wordprocessingml/2006/main">
  <w:zoom w:percent="100"/>
  <w:mirrorMargin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s-ES_tradn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564b5"/>
    <w:pPr>
      <w:widowControl/>
      <w:bidi w:val="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c564b5"/>
    <w:rPr>
      <w:rFonts w:ascii="Times New Roman" w:hAnsi="Times New Roman" w:eastAsia="Times New Roman" w:cs="Times New Roman"/>
      <w:lang w:val="es-MX" w:eastAsia="es-MX"/>
    </w:rPr>
  </w:style>
  <w:style w:type="character" w:styleId="PiedepginaCar" w:customStyle="1">
    <w:name w:val="Pie de página Car"/>
    <w:basedOn w:val="DefaultParagraphFont"/>
    <w:link w:val="Piedepgina"/>
    <w:uiPriority w:val="99"/>
    <w:qFormat/>
    <w:rsid w:val="00c564b5"/>
    <w:rPr>
      <w:rFonts w:ascii="Times New Roman" w:hAnsi="Times New Roman" w:eastAsia="Times New Roman" w:cs="Times New Roman"/>
      <w:lang w:val="es-MX" w:eastAsia="es-MX"/>
    </w:rPr>
  </w:style>
  <w:style w:type="character" w:styleId="Pagenumber">
    <w:name w:val="page number"/>
    <w:basedOn w:val="DefaultParagraphFont"/>
    <w:qFormat/>
    <w:rsid w:val="00c564b5"/>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EncabezadoCar"/>
    <w:uiPriority w:val="99"/>
    <w:rsid w:val="00c564b5"/>
    <w:pPr>
      <w:tabs>
        <w:tab w:val="clear" w:pos="708"/>
        <w:tab w:val="center" w:pos="4419" w:leader="none"/>
        <w:tab w:val="right" w:pos="8838" w:leader="none"/>
      </w:tabs>
    </w:pPr>
    <w:rPr/>
  </w:style>
  <w:style w:type="paragraph" w:styleId="Footer">
    <w:name w:val="Footer"/>
    <w:basedOn w:val="Normal"/>
    <w:link w:val="PiedepginaCar"/>
    <w:uiPriority w:val="99"/>
    <w:rsid w:val="00c564b5"/>
    <w:pPr>
      <w:tabs>
        <w:tab w:val="clear" w:pos="708"/>
        <w:tab w:val="center" w:pos="4419" w:leader="none"/>
        <w:tab w:val="right" w:pos="8838"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LibreOffice/6.2.4.2$MacOSX_X86_64 LibreOffice_project/2412653d852ce75f65fbfa83fb7e7b669a126d64</Application>
  <Pages>3</Pages>
  <Words>545</Words>
  <Characters>3313</Characters>
  <CharactersWithSpaces>3885</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2021-05-25T09:49:30Z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