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$68.240,00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$272.960,00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2025115303</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2025115303</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2025115303</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