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LUIS ALBEIRO RUIZ SILVA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71657574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37B No. 34 - 82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PEREIRA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RISARALDA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YDH77A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2023-11-09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$1.769.000,00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$27.000,00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$185.600,00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$81.120,00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$324.480,00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$27.000,00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$185.600,00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LUIS ALBEIRO RUIZ SILVA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$405.600,00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71657574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2023-11-02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2007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2023077725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LUIS ALBEIRO RUIZ SILVA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71657574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37B No. 34 - 82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PEREIRA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RISARALDA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YDH77A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2023-11-09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$1.769.000,00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$27.000,00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$185.600,00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$27.000,00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$185.600,00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$405.600,00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2023-11-02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2023077725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