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2025-12-13</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BWQ899</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IVA-22-2025-004260</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2025-12-13</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BERTA LUZ LONDOÑO OLAYA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21487287</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26 No. 80 A - 61</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IVA-22-2025-004260</w:t>
      </w:r>
      <w:r>
        <w:rPr>
          <w:rFonts w:cs="Arial" w:ascii="Arial" w:hAnsi="Arial"/>
          <w:sz w:val="20"/>
          <w:szCs w:val="20"/>
          <w:lang w:val="es-ES"/>
        </w:rPr>
        <w:t xml:space="preserve"> adelantado en contra </w:t>
      </w:r>
      <w:r>
        <w:rPr>
          <w:rFonts w:cs="Arial" w:ascii="Arial" w:hAnsi="Arial"/>
          <w:b/>
          <w:bCs/>
          <w:sz w:val="20"/>
          <w:szCs w:val="20"/>
          <w:lang w:val="es-ES"/>
        </w:rPr>
        <w:t>BERTA LUZ LONDOÑO OLAYA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CLAUDIA MONTAÑA RODRIGUEZ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Profesional Universitario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Resolución de Competencia No. 215 del 06-09-2004</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tbl>
      <w:tblPr>
        <w:tblW w:w="9465" w:type="dxa"/>
        <w:jc w:val="left"/>
        <w:tblInd w:w="109" w:type="dxa"/>
        <w:tblLayout w:type="fixed"/>
        <w:tblCellMar>
          <w:top w:w="55" w:type="dxa"/>
          <w:left w:w="55" w:type="dxa"/>
          <w:bottom w:w="55" w:type="dxa"/>
          <w:right w:w="55" w:type="dxa"/>
        </w:tblCellMar>
      </w:tblPr>
      <w:tblGrid>
        <w:gridCol w:w="9465"/>
      </w:tblGrid>
      <w:tr>
        <w:trPr/>
        <w:tc>
          <w:tcPr>
            <w:tcW w:w="946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2025-12-13 11:50:22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9465"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11:48:19</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235</Words>
  <Characters>1727</Characters>
  <CharactersWithSpaces>1919</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2025-12-10T08:38:47Z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