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_rId12_document.png" ContentType="image/png"/>
  <Override PartName="/word/media/image_rId13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“</w:t>
      </w:r>
      <w:r>
        <w:rPr>
          <w:rFonts w:cs="Arial" w:ascii="Arial" w:hAnsi="Arial"/>
          <w:sz w:val="24"/>
          <w:szCs w:val="24"/>
          <w:lang w:val="es-ES"/>
        </w:rPr>
        <w:t>Auto por el cual se determina la dirección fiscal de un contribuyente”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  <w:lang w:val="es-ES"/>
        </w:rPr>
        <w:t xml:space="preserve">El(La) suscrito(a) funcionario(a) competente en el área de Liquidación Oficial de la Dirección de Rentas de la Secretaría de Hacienda de Casanare, en uso de sus facultades legales y las conferidas en la Resolución 002 de 2015, emanada por la Secretaria de Hacienda Departamental, y artículo 387 </w:t>
      </w:r>
      <w:r>
        <w:rPr>
          <w:rFonts w:cs="Arial" w:ascii="Arial" w:hAnsi="Arial"/>
          <w:sz w:val="24"/>
          <w:szCs w:val="24"/>
          <w:lang w:val="es-CO"/>
        </w:rPr>
        <w:t>del Estatuto de Rentas del Departamento de Casanare</w:t>
      </w:r>
      <w:r>
        <w:rPr>
          <w:rFonts w:cs="Arial" w:ascii="Arial" w:hAnsi="Arial"/>
          <w:sz w:val="24"/>
          <w:szCs w:val="24"/>
          <w:lang w:val="es-ES"/>
        </w:rPr>
        <w:t>, determina que el contribuyente CLAUDIA LIZETH SANCHEZ DIAZ, Identificado con CC 1030662888, propietario del vehículo de placa KCL066, se le determina como dirección la siguiente: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CL 58 A SUR No. 99 B - 81  del municipio de BOGOTÁ, D.C., departamento de BOGOTÁ, D. C., dirección que fue obtenida mediante:</w:t>
      </w:r>
      <w:r>
        <w:rPr>
          <w:rFonts w:cs="Arial" w:ascii="Arial" w:hAnsi="Arial"/>
          <w:sz w:val="24"/>
          <w:szCs w:val="24"/>
          <w:lang w:val="es-MX"/>
        </w:rPr>
        <w:t xml:space="preserve"> PETICIÓN MEDIANTE OFICIO 400-096 DE FECHA 20-Sep-16 CON RADICADO EN LA DIAN No. 002855 EL DIA 20-Septiembre-16, BRINDARON RESPUESTA VIA EMAIL EL DIA 30 -SEPTIEMBRE-2016 CON EL ASUNTO: Solución del Requerimiento No. R286710</w:t>
      </w:r>
      <w:r>
        <w:rPr>
          <w:rFonts w:cs="Arial" w:ascii="Arial" w:hAnsi="Arial"/>
          <w:sz w:val="24"/>
          <w:szCs w:val="24"/>
          <w:lang w:val="es-ES"/>
        </w:rPr>
        <w:t>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  <w:t>Por lo anterior los actos proferidos por este(a) funcionario(a) competente quedaran asimilados a la información ya actualizada.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  <w:lang w:val="es-MX"/>
        </w:rPr>
        <w:t>El presente acto se suscribe el Quince (15) de Diciembre de 2025.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838"/>
      </w:tblGrid>
      <w:tr>
        <w:trPr/>
        <w:tc>
          <w:tcPr>
            <w:tcW w:w="8838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2025-12-15 14:29:15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8838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left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2025-12-15 14:18:29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07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0"/>
      <w:gridCol w:w="7331"/>
    </w:tblGrid>
    <w:tr>
      <w:trPr>
        <w:trHeight w:val="67" w:hRule="atLeast"/>
      </w:trPr>
      <w:tc>
        <w:tcPr>
          <w:tcW w:w="174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77875" cy="938530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875" cy="938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lang w:val="es-ES"/>
            </w:rPr>
          </w:pPr>
          <w:r>
            <w:rPr>
              <w:rFonts w:cs="Arial" w:ascii="Arial" w:hAnsi="Arial"/>
              <w:b/>
              <w:sz w:val="24"/>
              <w:szCs w:val="24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07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0"/>
      <w:gridCol w:w="7331"/>
    </w:tblGrid>
    <w:tr>
      <w:trPr>
        <w:trHeight w:val="67" w:hRule="atLeast"/>
      </w:trPr>
      <w:tc>
        <w:tcPr>
          <w:tcW w:w="174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77875" cy="938530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875" cy="938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lang w:val="es-ES"/>
            </w:rPr>
          </w:pPr>
          <w:r>
            <w:rPr>
              <w:rFonts w:cs="Arial" w:ascii="Arial" w:hAnsi="Arial"/>
              <w:b/>
              <w:sz w:val="24"/>
              <w:szCs w:val="24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4a15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246fe"/>
    <w:pPr>
      <w:spacing w:before="0" w:after="0"/>
      <w:ind w:hanging="0" w:left="720"/>
      <w:contextualSpacing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Application>LibreOffice/24.2.7.2$Linux_X86_64 LibreOffice_project/420$Build-2</Application>
  <AppVersion>15.0000</AppVersion>
  <Pages>1</Pages>
  <Words>186</Words>
  <Characters>1318</Characters>
  <CharactersWithSpaces>1479</CharactersWithSpaces>
  <Paragraphs>27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2025-12-15T08:23:18Z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