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202500004312</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DYM016</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2024, 2025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IVA-2425-2025-004265</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2025-12-16</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LUZ VIVIANA SUAREZ GUTIERREZ</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65696463</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KR 60 A #6 -09</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IBAGUÉ</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TOLIMA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2024, 2025</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DYM016</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CHEVROLET</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ALTO</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2001</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1000</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AUTOMÓVIL</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pPr>
            <w:r>
              <w:rPr>
                <w:rFonts w:ascii="Arial" w:hAnsi="Arial" w:eastAsia="Arial" w:cs="Arial"/>
                <w:color w:val="#000000"/>
                <w:sz w:val="20"/>
                <w:szCs w:val="20"/>
              </w:rPr>
              <w:t xml:space="preserve">Firmado electrónicamente el 2025-12-16 15:13:20</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
              <w:pict>
                <v:shape type="#_x0000_t75" style="width:50px;height:50px" stroked="f" filled="f">
                  <v:imagedata r:id="rId11" o:title=""/>
                </v:shape>
              </w:pict>
              <w:t/>
            </w:r>
          </w:p>
          <w:p>
            <w:pPr>
              <w:pStyle w:val="LO-normal"/>
              <w:jc w:val="left"/>
              <w:rPr/>
            </w:pPr>
            <w:r>
              <w:rPr>
                <w:rFonts w:ascii="Arial" w:hAnsi="Arial" w:eastAsia="Arial" w:cs="Arial"/>
                <w:color w:val="#000000"/>
                <w:sz w:val="20"/>
                <w:szCs w:val="20"/>
              </w:rPr>
              <w:t xml:space="preserve">Firmado electrónicamente el 2025-12-16 14:57:07</w:t>
            </w:r>
          </w:p>
          <w:p>
            <w:pPr>
              <w:pStyle w:val="LO-normal"/>
              <w:jc w:val="both"/>
              <w:rPr/>
            </w:pPr>
            <w:r>
              <w:rPr>
                <w:rFonts w:ascii="Arial" w:hAnsi="Arial"/>
                <w:color w:val="000000"/>
                <w:sz w:val="20"/>
                <w:szCs w:val="20"/>
              </w:rPr>
              <w:t>Proyectó: ARIANNA MARTINEZ</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