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2025003404 de fecha 16 de Diciembre de 2025, fue notificada por correo certificado el 20 de Febrero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21 de Abril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ROCIO TOVAR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