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IVA-24-2025-004267</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MVZ201</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2024</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IVA-24-2025-004267</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WILLIAM HUMBERTO GONZALEZ REYES</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74770956</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WILLIAM HUMBERTO GONZALEZ REYES, identificado con cédula de ciudadanía 74770956 la 0 0 0 0  0  0  0  0  CARRERA 7 # 40B - 82 de la ciudad de AGUAZUL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2025-12-17 15:45:25</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15:43:39</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