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202500002062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2025-12-17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IVA-25-2025-004268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FABIO TRUJILLO ULLOA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1124821333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USB50H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IVA-25-2025-004268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FABIO TRUJILLO ULLOA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