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2025003407</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IVA-25-2025-004270</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MARIA JOSE RODRIGUEZ GONZALEZ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1122918825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61 A # 7 A OESTE 39 BARRIO LLANO LINDO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USB93H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MARIA JOSE RODRIGUEZ GONZALEZ, Identificado con CC 1122918825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MARIA JOSE RODRIGUEZ GONZALEZ, Identificado con CC 1122918825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