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ARIANA LICETH PANIAGUA LOPEZ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25 C # 14 -95 BARRIO COVISECAD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2025003409</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2025003409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